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7" w:lineRule="auto"/>
        <w:tabs>
          <w:tab w:val="center" w:pos="4960" w:leader="none"/>
          <w:tab w:val="left" w:pos="6090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ДОГОВОР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на выполнение работ № 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168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/ЛПЯ/25</w:t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  <w:t xml:space="preserve">Ленинградская область</w:t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  <w:lang w:val="en-US"/>
        </w:rPr>
        <w:t xml:space="preserve">                          </w:t>
      </w:r>
      <w:r>
        <w:rPr>
          <w:b/>
          <w:color w:val="000000" w:themeColor="text1"/>
          <w:sz w:val="24"/>
          <w:szCs w:val="24"/>
          <w:highlight w:val="white"/>
        </w:rPr>
        <w:t xml:space="preserve">«___</w:t>
      </w:r>
      <w:r>
        <w:rPr>
          <w:b/>
          <w:color w:val="000000" w:themeColor="text1"/>
          <w:sz w:val="24"/>
          <w:szCs w:val="24"/>
          <w:highlight w:val="white"/>
        </w:rPr>
        <w:t xml:space="preserve">»</w:t>
      </w:r>
      <w:r>
        <w:rPr>
          <w:b/>
          <w:color w:val="000000" w:themeColor="text1"/>
          <w:sz w:val="24"/>
          <w:szCs w:val="24"/>
          <w:highlight w:val="white"/>
          <w:u w:val="none"/>
        </w:rPr>
        <w:t xml:space="preserve">_______</w:t>
      </w:r>
      <w:r>
        <w:rPr>
          <w:b/>
          <w:color w:val="000000" w:themeColor="text1"/>
          <w:sz w:val="24"/>
          <w:szCs w:val="24"/>
          <w:highlight w:val="white"/>
        </w:rPr>
        <w:t xml:space="preserve">2025</w:t>
      </w:r>
      <w:r>
        <w:rPr>
          <w:b/>
          <w:color w:val="000000" w:themeColor="text1"/>
          <w:sz w:val="24"/>
          <w:szCs w:val="24"/>
          <w:highlight w:val="white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highlight w:val="white"/>
        </w:rPr>
        <w:t xml:space="preserve">г</w:t>
      </w:r>
      <w:r>
        <w:rPr>
          <w:color w:val="000000" w:themeColor="text1"/>
          <w:sz w:val="24"/>
          <w:szCs w:val="24"/>
          <w:highlight w:val="white"/>
        </w:rPr>
        <w:t xml:space="preserve">.</w:t>
        <w:tab/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  <w:tab/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pacing w:val="-6"/>
          <w:sz w:val="24"/>
          <w:szCs w:val="24"/>
          <w:highlight w:val="white"/>
        </w:rPr>
      </w:r>
      <w:r>
        <w:rPr>
          <w:b/>
          <w:bCs/>
          <w:color w:val="000000" w:themeColor="text1"/>
          <w:spacing w:val="-6"/>
          <w:sz w:val="24"/>
          <w:szCs w:val="24"/>
        </w:rPr>
        <w:t xml:space="preserve">(</w: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begin"/>
      </w:r>
      <w:bookmarkStart w:id="0" w:name="undefined"/>
      <w:r>
        <w:rPr>
          <w:b/>
          <w:bCs/>
          <w:color w:val="000000" w:themeColor="text1"/>
          <w:spacing w:val="-6"/>
          <w:sz w:val="24"/>
          <w:szCs w:val="24"/>
        </w:rPr>
        <w:instrText xml:space="preserve"> FORMTEXT </w:instrTex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separate"/>
      </w:r>
      <w:r>
        <w:rPr>
          <w:b/>
          <w:bCs/>
          <w:color w:val="000000" w:themeColor="text1"/>
          <w:spacing w:val="-6"/>
          <w:sz w:val="24"/>
          <w:szCs w:val="24"/>
        </w:rPr>
        <w:t xml:space="preserve">Закупочная процедура</w: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end"/>
      </w:r>
      <w:bookmarkEnd w:id="0"/>
      <w:r>
        <w:rPr>
          <w:b/>
          <w:bCs/>
          <w:color w:val="000000" w:themeColor="text1"/>
          <w:spacing w:val="-6"/>
          <w:sz w:val="24"/>
          <w:szCs w:val="24"/>
        </w:rPr>
        <w:t xml:space="preserve">), </w:t>
      </w:r>
      <w:r>
        <w:rPr>
          <w:bCs/>
          <w:color w:val="000000" w:themeColor="text1"/>
          <w:sz w:val="24"/>
          <w:szCs w:val="24"/>
        </w:rPr>
        <w:t xml:space="preserve">именуемое в дальнейшем «</w:t>
      </w:r>
      <w:r>
        <w:rPr>
          <w:b/>
          <w:color w:val="000000" w:themeColor="text1"/>
          <w:sz w:val="24"/>
          <w:szCs w:val="24"/>
        </w:rPr>
        <w:t xml:space="preserve">Исполнитель</w:t>
      </w:r>
      <w:r>
        <w:rPr>
          <w:bCs/>
          <w:color w:val="000000" w:themeColor="text1"/>
          <w:sz w:val="24"/>
          <w:szCs w:val="24"/>
        </w:rPr>
        <w:t xml:space="preserve">», в лице</w:t>
      </w:r>
      <w:r>
        <w:rPr>
          <w:color w:val="000000" w:themeColor="text1"/>
          <w:spacing w:val="-6"/>
          <w:sz w:val="24"/>
          <w:szCs w:val="24"/>
        </w:rPr>
        <w:fldChar w:fldCharType="begin"/>
      </w:r>
      <w:bookmarkStart w:id="0" w:name="undefined"/>
      <w:r>
        <w:rPr>
          <w:color w:val="000000" w:themeColor="text1"/>
          <w:spacing w:val="-6"/>
          <w:sz w:val="24"/>
          <w:szCs w:val="24"/>
        </w:rPr>
        <w:instrText xml:space="preserve"> FORMTEXT </w:instrText>
      </w:r>
      <w:r>
        <w:rPr>
          <w:color w:val="000000" w:themeColor="text1"/>
          <w:spacing w:val="-6"/>
          <w:sz w:val="24"/>
          <w:szCs w:val="24"/>
        </w:rPr>
        <w:fldChar w:fldCharType="separate"/>
        <w:t xml:space="preserve"> </w:t>
      </w:r>
      <w:r>
        <w:rPr>
          <w:color w:val="000000" w:themeColor="text1"/>
          <w:spacing w:val="-6"/>
          <w:sz w:val="24"/>
          <w:szCs w:val="24"/>
        </w:rPr>
        <w:t xml:space="preserve">ФИОКонтЛицо</w:t>
      </w:r>
      <w:r>
        <w:rPr>
          <w:color w:val="000000" w:themeColor="text1"/>
          <w:spacing w:val="-6"/>
          <w:sz w:val="24"/>
          <w:szCs w:val="24"/>
        </w:rPr>
        <w:fldChar w:fldCharType="end"/>
      </w:r>
      <w:bookmarkEnd w:id="0"/>
      <w:r>
        <w:rPr>
          <w:color w:val="000000" w:themeColor="text1"/>
          <w:spacing w:val="-6"/>
          <w:sz w:val="24"/>
          <w:szCs w:val="24"/>
        </w:rPr>
        <w:t xml:space="preserve">, </w:t>
      </w:r>
      <w:r>
        <w:rPr>
          <w:bCs/>
          <w:color w:val="000000" w:themeColor="text1"/>
          <w:sz w:val="24"/>
          <w:szCs w:val="24"/>
        </w:rPr>
        <w:t xml:space="preserve">действующего на основании</w:t>
      </w:r>
      <w:r>
        <w:rPr>
          <w:color w:val="000000" w:themeColor="text1"/>
          <w:spacing w:val="-7"/>
          <w:sz w:val="24"/>
          <w:szCs w:val="24"/>
        </w:rPr>
        <w:fldChar w:fldCharType="begin"/>
      </w:r>
      <w:bookmarkStart w:id="0" w:name="undefined"/>
      <w:r>
        <w:rPr>
          <w:color w:val="000000" w:themeColor="text1"/>
          <w:spacing w:val="-7"/>
          <w:sz w:val="24"/>
          <w:szCs w:val="24"/>
        </w:rPr>
        <w:instrText xml:space="preserve"> FORMTEXT </w:instrText>
      </w:r>
      <w:r>
        <w:rPr>
          <w:color w:val="000000" w:themeColor="text1"/>
          <w:spacing w:val="-7"/>
          <w:sz w:val="24"/>
          <w:szCs w:val="24"/>
        </w:rPr>
        <w:fldChar w:fldCharType="separate"/>
        <w:t xml:space="preserve">доверенности № от </w:t>
      </w:r>
      <w:r>
        <w:rPr>
          <w:color w:val="000000" w:themeColor="text1"/>
          <w:spacing w:val="-7"/>
          <w:sz w:val="24"/>
          <w:szCs w:val="24"/>
        </w:rPr>
        <w:fldChar w:fldCharType="end"/>
      </w:r>
      <w:bookmarkEnd w:id="0"/>
      <w:r>
        <w:rPr>
          <w:color w:val="000000" w:themeColor="text1"/>
          <w:sz w:val="24"/>
          <w:szCs w:val="24"/>
        </w:rPr>
        <w:t xml:space="preserve">, с одной стороны</w:t>
      </w:r>
      <w:r>
        <w:rPr>
          <w:color w:val="000000" w:themeColor="text1"/>
          <w:sz w:val="24"/>
          <w:szCs w:val="24"/>
          <w:highlight w:val="white"/>
        </w:rPr>
        <w:t xml:space="preserve">, с одной стороны, и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pacing w:val="-6"/>
          <w:sz w:val="24"/>
          <w:szCs w:val="24"/>
          <w:highlight w:val="white"/>
        </w:rPr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begin"/>
      </w:r>
      <w:bookmarkStart w:id="0" w:name="undefined"/>
      <w:r>
        <w:rPr>
          <w:b/>
          <w:bCs/>
          <w:color w:val="000000" w:themeColor="text1"/>
          <w:spacing w:val="-6"/>
          <w:sz w:val="24"/>
          <w:szCs w:val="24"/>
        </w:rPr>
        <w:instrText xml:space="preserve"> FORMTEXT </w:instrTex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separate"/>
      </w:r>
      <w:r>
        <w:rPr>
          <w:b/>
          <w:bCs/>
          <w:color w:val="000000" w:themeColor="text1"/>
          <w:spacing w:val="-6"/>
          <w:sz w:val="24"/>
          <w:szCs w:val="24"/>
        </w:rPr>
        <w:tab/>
        <w:t xml:space="preserve">Общество с ограниченной ответственностью «Логистический Парк «Янино»</w: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end"/>
      </w:r>
      <w:bookmarkEnd w:id="0"/>
      <w:r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bCs/>
          <w:color w:val="000000" w:themeColor="text1"/>
          <w:spacing w:val="-6"/>
          <w:sz w:val="24"/>
          <w:szCs w:val="24"/>
        </w:rPr>
        <w:br/>
        <w:t xml:space="preserve">(</w: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begin"/>
      </w:r>
      <w:bookmarkStart w:id="0" w:name="undefined"/>
      <w:r>
        <w:rPr>
          <w:b/>
          <w:bCs/>
          <w:color w:val="000000" w:themeColor="text1"/>
          <w:spacing w:val="-6"/>
          <w:sz w:val="24"/>
          <w:szCs w:val="24"/>
        </w:rPr>
        <w:instrText xml:space="preserve"> FORMTEXT </w:instrTex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separate"/>
      </w:r>
      <w:r>
        <w:rPr>
          <w:b/>
          <w:bCs/>
          <w:color w:val="000000" w:themeColor="text1"/>
          <w:spacing w:val="-6"/>
          <w:sz w:val="24"/>
          <w:szCs w:val="24"/>
        </w:rPr>
        <w:t xml:space="preserve">ООО «Логистический Парк «Янино»</w:t>
      </w:r>
      <w:r>
        <w:rPr>
          <w:b/>
          <w:bCs/>
          <w:color w:val="000000" w:themeColor="text1"/>
          <w:spacing w:val="-6"/>
          <w:sz w:val="24"/>
          <w:szCs w:val="24"/>
        </w:rPr>
        <w:fldChar w:fldCharType="end"/>
      </w:r>
      <w:bookmarkEnd w:id="0"/>
      <w:r>
        <w:rPr>
          <w:b/>
          <w:bCs/>
          <w:color w:val="000000" w:themeColor="text1"/>
          <w:spacing w:val="-6"/>
          <w:sz w:val="24"/>
          <w:szCs w:val="24"/>
        </w:rPr>
        <w:t xml:space="preserve">)</w:t>
      </w:r>
      <w:r>
        <w:rPr>
          <w:color w:val="000000" w:themeColor="text1"/>
          <w:spacing w:val="-6"/>
          <w:sz w:val="24"/>
          <w:szCs w:val="24"/>
        </w:rPr>
        <w:t xml:space="preserve">, именуемое в дальнейшем </w:t>
      </w:r>
      <w:r>
        <w:rPr>
          <w:b/>
          <w:color w:val="000000" w:themeColor="text1"/>
          <w:spacing w:val="-6"/>
          <w:sz w:val="24"/>
          <w:szCs w:val="24"/>
        </w:rPr>
        <w:t xml:space="preserve">«Заказчик»</w:t>
      </w:r>
      <w:r>
        <w:rPr>
          <w:color w:val="000000" w:themeColor="text1"/>
          <w:spacing w:val="-6"/>
          <w:sz w:val="24"/>
          <w:szCs w:val="24"/>
        </w:rPr>
        <w:t xml:space="preserve">, в лице </w:t>
      </w:r>
      <w:r>
        <w:rPr>
          <w:color w:val="000000" w:themeColor="text1"/>
          <w:spacing w:val="-6"/>
          <w:sz w:val="24"/>
          <w:szCs w:val="24"/>
        </w:rPr>
        <w:fldChar w:fldCharType="begin"/>
      </w:r>
      <w:bookmarkStart w:id="0" w:name="undefined"/>
      <w:r>
        <w:rPr>
          <w:color w:val="000000" w:themeColor="text1"/>
          <w:spacing w:val="-6"/>
          <w:sz w:val="24"/>
          <w:szCs w:val="24"/>
        </w:rPr>
        <w:instrText xml:space="preserve"> FORMTEXT </w:instrText>
      </w:r>
      <w:r>
        <w:rPr>
          <w:color w:val="000000" w:themeColor="text1"/>
          <w:spacing w:val="-6"/>
          <w:sz w:val="24"/>
          <w:szCs w:val="24"/>
        </w:rPr>
        <w:fldChar w:fldCharType="separate"/>
      </w:r>
      <w:r>
        <w:rPr>
          <w:color w:val="000000" w:themeColor="text1"/>
          <w:spacing w:val="-6"/>
          <w:sz w:val="24"/>
          <w:szCs w:val="24"/>
        </w:rPr>
        <w:br/>
        <w:t xml:space="preserve">Гарифьянова Тимура Исрафиловича</w:t>
      </w:r>
      <w:r>
        <w:rPr>
          <w:color w:val="000000" w:themeColor="text1"/>
          <w:spacing w:val="-6"/>
          <w:sz w:val="24"/>
          <w:szCs w:val="24"/>
        </w:rPr>
        <w:fldChar w:fldCharType="end"/>
      </w:r>
      <w:bookmarkEnd w:id="0"/>
      <w:r>
        <w:rPr>
          <w:bCs/>
          <w:color w:val="000000" w:themeColor="text1"/>
          <w:spacing w:val="-7"/>
          <w:sz w:val="24"/>
          <w:szCs w:val="24"/>
        </w:rPr>
        <w:t xml:space="preserve">,</w:t>
      </w:r>
      <w:r>
        <w:rPr>
          <w:color w:val="000000" w:themeColor="text1"/>
          <w:spacing w:val="-7"/>
          <w:sz w:val="24"/>
          <w:szCs w:val="24"/>
        </w:rPr>
        <w:t xml:space="preserve"> действующего на основании доверенности № 3407-ЛПЯ</w:t>
      </w:r>
      <w:r>
        <w:rPr>
          <w:color w:val="000000" w:themeColor="text1"/>
          <w:spacing w:val="-7"/>
          <w:sz w:val="24"/>
          <w:szCs w:val="24"/>
        </w:rPr>
        <w:t xml:space="preserve"> </w:t>
        <w:br/>
        <w:t xml:space="preserve">от 24.01.2024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white"/>
        </w:rPr>
        <w:t xml:space="preserve"> с другой стороны,</w:t>
      </w:r>
      <w:r>
        <w:rPr>
          <w:color w:val="000000" w:themeColor="text1"/>
          <w:sz w:val="24"/>
          <w:szCs w:val="24"/>
          <w:highlight w:val="white"/>
        </w:rPr>
        <w:t xml:space="preserve"> в дальнейшем именуемые «Стороны»,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заключили настоящий договор о нижеследующем</w:t>
      </w:r>
      <w:r>
        <w:rPr>
          <w:color w:val="000000" w:themeColor="text1"/>
          <w:sz w:val="24"/>
          <w:szCs w:val="24"/>
          <w:highlight w:val="none"/>
        </w:rPr>
        <w:t xml:space="preserve">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142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Предмет договора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142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Заказчик поручает, а Исполнитель принимает на себя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обязательства выполнить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работы по капитальному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ремонту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и поставке насосного оборудования 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канализационно-насосных стан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ций №№ 5.1, 5.2, 3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t xml:space="preserve">ООО «Логистический Парк «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t xml:space="preserve">Янино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t xml:space="preserve">».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numPr>
          <w:ilvl w:val="2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Работы выполняются в соответствии с</w:t>
      </w:r>
      <w:r>
        <w:rPr>
          <w:color w:val="000000" w:themeColor="text1"/>
          <w:sz w:val="24"/>
          <w:szCs w:val="24"/>
          <w:highlight w:val="white"/>
        </w:rPr>
        <w:t xml:space="preserve"> Техническим заданием (Приложение </w:t>
        <w:br/>
        <w:t xml:space="preserve">к Договору).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Сумма Договора и порядок расчетов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284" w:leader="none"/>
          <w:tab w:val="clear" w:pos="720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white"/>
        </w:rPr>
        <w:t xml:space="preserve"> Общая сумма Договора определяется </w:t>
      </w:r>
      <w:r>
        <w:rPr>
          <w:color w:val="000000" w:themeColor="text1"/>
          <w:sz w:val="24"/>
          <w:szCs w:val="24"/>
          <w:highlight w:val="white"/>
        </w:rPr>
        <w:t xml:space="preserve">Техническим заданием</w:t>
      </w:r>
      <w:r>
        <w:rPr>
          <w:color w:val="000000" w:themeColor="text1"/>
          <w:sz w:val="24"/>
          <w:szCs w:val="24"/>
          <w:highlight w:val="white"/>
        </w:rPr>
        <w:t xml:space="preserve"> </w:t>
        <w:br/>
        <w:t xml:space="preserve">(Приложение  к Договору), и составляет: 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4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772 955 (четыре миллиона семьсот семьдесят две тысячи девятьсот пятьдесят пять) рублей 00 копеек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, в том числе НДС 20% - 795 492 (семьсот девяносто пять тысяч четыреста девяносто два) рубля 50 копеек</w:t>
      </w:r>
      <w:r>
        <w:rPr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284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  <w:t xml:space="preserve">Оплата по настоящему Договору производится в следующ</w:t>
      </w:r>
      <w:r>
        <w:rPr>
          <w:color w:val="000000" w:themeColor="text1"/>
          <w:sz w:val="24"/>
          <w:szCs w:val="24"/>
          <w:highlight w:val="white"/>
        </w:rPr>
        <w:t xml:space="preserve">ем порядке: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tabs>
          <w:tab w:val="num" w:pos="284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</w:rPr>
        <w:t xml:space="preserve">Предоплата в размере </w:t>
      </w:r>
      <w:r>
        <w:rPr>
          <w:color w:val="000000" w:themeColor="text1"/>
          <w:sz w:val="24"/>
          <w:szCs w:val="24"/>
        </w:rPr>
        <w:t xml:space="preserve">50 %</w:t>
      </w:r>
      <w:r>
        <w:rPr>
          <w:color w:val="000000" w:themeColor="text1"/>
          <w:sz w:val="24"/>
          <w:szCs w:val="24"/>
        </w:rPr>
        <w:t xml:space="preserve"> от суммы Договора в течение 7 рабочих дней с даты заключения Договора, оплата оставшейся части – в течение 15 рабочих дней с даты подписания акта выполненных работ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0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Обязательство Заказчика по оплате считается исполненным с даты списания суммы денежных средств с расчётного счёта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0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обеспечивают проведение сверки взаиморасчетов и подписание актов сверки не реже одного раза в квартал и в течение 15 дней по окончании действия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709" w:right="-2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Права и обязанности Сторон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 Исполнитель обязуется: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3.1.1. Качественно, в объемах и в сроки, указанные в настоящем Договоре  выполнять Работы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3.1.2.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Самостоятельно оформить пропуск на территорию пункта пропуск</w:t>
      </w:r>
      <w:r>
        <w:rPr>
          <w:color w:val="000000" w:themeColor="text1"/>
          <w:sz w:val="24"/>
          <w:szCs w:val="24"/>
          <w:highlight w:val="white"/>
        </w:rPr>
        <w:t xml:space="preserve">а, в границах которого расположена территория Заказчика. Информация о порядке и сроках оформления пропуска размещена на официальном сайте Заказчика в сети интернет по адресу www.globalports.com, а также на информационных стендах в бюро пропусков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3.1.3 Обеспечить соблюдение законодательства РФ, трудовой и производственной дисциплины своими работниками в течение всего срока выполнения Работ.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3.1.4. Выполнять указания Заказчика о порядке выполнения Работ.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3.1.5. В течение 5 рабочих дней с момента подписания Договора Исполнитель обязан предоставить в электронном виде Выписку из сервиса оценки юридических лиц, подтверждающую соответствие Методике проведения оценки юридического лиц</w:t>
      </w:r>
      <w:r>
        <w:rPr>
          <w:color w:val="000000" w:themeColor="text1"/>
          <w:sz w:val="24"/>
          <w:szCs w:val="24"/>
          <w:highlight w:val="white"/>
        </w:rPr>
        <w:t xml:space="preserve">а на базе интерактивного сервиса «Личный кабинет налогоплательщика юридического лица» формате pdf с электронной подписью должностного лица ИФНС (далее - Выписка). Выписка должна быть получена не ранее чем за 30 календарных дней до даты подписания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По первому требованию Заказчика предста</w:t>
      </w:r>
      <w:r>
        <w:rPr>
          <w:color w:val="000000" w:themeColor="text1"/>
          <w:sz w:val="24"/>
          <w:szCs w:val="24"/>
          <w:highlight w:val="white"/>
        </w:rPr>
        <w:t xml:space="preserve">вить заверенные копии документов, подтверждающих гарантии и заверения, а также документы, подтверждающие наличие трудовых и материальных ресурсов (как своих, так и привлекаемых субподрядчиков) в течение 5 рабочих дней с момента получения запроса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Несвоевременное предоставление вышеуказанных документов, или отказ от их предоставления свидетельствует о недостоверно</w:t>
      </w:r>
      <w:r>
        <w:rPr>
          <w:color w:val="000000" w:themeColor="text1"/>
          <w:sz w:val="24"/>
          <w:szCs w:val="24"/>
          <w:highlight w:val="white"/>
        </w:rPr>
        <w:t xml:space="preserve">сти заверений, в связи с чем Заказчик имеет право расторгнуть Договор в одностороннем порядке, направив письменное уведомление о расторжении Договора в адрес Исполнителя, а также вправе требовать возмещения всех возникших убытков, включая упущенную выгоду.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3.2. Заказчик обязуется: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3.2.1. Оплачивать работы Исполнителя в порядке, предусмотренном настоящим Договором.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Порядок сдачи-приемки выполненных работ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Срок выполнения Работ по настоящему Договору составляет </w:t>
      </w:r>
      <w:r>
        <w:rPr>
          <w:color w:val="000000" w:themeColor="text1"/>
          <w:sz w:val="24"/>
          <w:szCs w:val="24"/>
          <w:highlight w:val="white"/>
        </w:rPr>
        <w:t xml:space="preserve">90 (девяносто) календарных дней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с даты подписания Договора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426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При возникновении или обнаружении обстоятельств, препятствующих выполнению Работ или увеличивающих объем, или сроки выполнения Исполнитель немедленно информирует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tabs>
          <w:tab w:val="num" w:pos="426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 Любое изменение объема или срока выполнения Работ согласовывается сторонами в письменном виде.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Изменение объемов или стоимости работ, не подтвержденное подписанием Сторонами соответствующего дополнительного соглашения к настоящему Договору, Заказчик не оплачивает.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уведомляет Заказчика о выполнении Работ в течение одного рабочего дня после фактического завершения работ и передает Заказчику комплект документов: счет, счёт-фактура или УПД, Акт выполненных работ и счёт.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Заказч</w:t>
      </w:r>
      <w:r>
        <w:rPr>
          <w:color w:val="000000" w:themeColor="text1"/>
          <w:sz w:val="24"/>
          <w:szCs w:val="24"/>
          <w:highlight w:val="white"/>
        </w:rPr>
        <w:t xml:space="preserve">ик обязан в течение 5 рабочих дней после получения Акта выполненных работ (или УПД): принять  Работу Исполнителя, подписав Акт выполненных работ (или УПД), либо письменно мотивировать отказ от принятия Р</w:t>
      </w:r>
      <w:r>
        <w:rPr>
          <w:color w:val="000000" w:themeColor="text1"/>
          <w:sz w:val="24"/>
          <w:szCs w:val="24"/>
          <w:highlight w:val="white"/>
        </w:rPr>
        <w:t xml:space="preserve">абот, предъявив Исполнителю </w:t>
        <w:br/>
        <w:t xml:space="preserve">претензии по поводу качества и объема выполненных Работ. Срок устранения замечаний </w:t>
        <w:br/>
        <w:t xml:space="preserve">по качеству и объему выполненных Работ составляет 5 (пять) рабочих дней с момента предъявления мотивированного отказа.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tabs>
          <w:tab w:val="num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709"/>
        <w:jc w:val="center"/>
        <w:spacing w:after="0" w:afterAutospacing="0" w:line="247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Ответственность сторон. Порядок рассмотрения споров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709" w:firstLine="0"/>
        <w:jc w:val="center"/>
        <w:spacing w:after="0" w:afterAutospacing="0" w:line="247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</w:t>
      </w:r>
      <w:r>
        <w:rPr>
          <w:color w:val="000000" w:themeColor="text1"/>
          <w:sz w:val="24"/>
          <w:szCs w:val="24"/>
          <w:highlight w:val="white"/>
        </w:rPr>
        <w:t xml:space="preserve">ае просрочки оплаты выполненных Работ Исполнитель имеет право потребовать, а Заказчик обязан выплатить Исполнителю неустойку в размере 0,1% от стоимости неоплаченных Работ, за каждый день просрочки, но не более 10% от стоимости неоплаченных Работ.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просрочки выполнения Работ Заказчик имеет право потребовать, а Исполнитель обязан выплатить Заказчику штрафную неустойку в размере 0,1% от общей суммы Договора за каждый день просрочки.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нарушения Исполнителем сроков выполнения Работ Заказчик вправе предъявить требование о взыскании с Исполнителя неустойки (пеней, штрафов) после фактического исполнения обязательств, предусмотренных Договором.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нарушения Исполнителем обязательств по Договору Заказчик вправе удержать начисленную за данное нарушение неустойку пени, штраф из суммы, подлежащей уплате за выполненные Работы при осуществлении окончательного расчета.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в соответствии со ст. 406.1 ГК РФ возмещает Заказчику все имущественные потери, возникшие: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а) в связи с предъявлением налоговыми органами требований об уплате налогов (пеней, штрафов), доначисленны</w:t>
      </w:r>
      <w:r>
        <w:rPr>
          <w:color w:val="000000" w:themeColor="text1"/>
          <w:sz w:val="24"/>
          <w:szCs w:val="24"/>
          <w:highlight w:val="white"/>
        </w:rPr>
        <w:t xml:space="preserve">х по суммам, уплаченным Подрядчику/Исполнителю в составе цены работы из-за отказа в применении налоговых вычетов по НДС из-за исключения стоимости приобретенных работ из расходов для целей налогообложения по причинам, связанным с Исполнителем;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б) имущественные потери возмещаются в размере сумм, уплаченных на основании решений, требований налоговых органов. При этом факт оспаривания этих налоговых доначислений в вышестоящем органе или в суде не влияет на обязанность Исполнителя возместить потери.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Уплата неустойки (штрафов, пени) не освобождает Стороны от исполнения обязательств, принятых по Договору, если не было достигнуто соглашение об обратном.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 несет имущественную ответственность за сохранность ТМЦ, переданных Заказчиком и до момента передачи ТМЦ Заказчику.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</w:t>
      </w:r>
      <w:r>
        <w:rPr>
          <w:color w:val="000000" w:themeColor="text1"/>
          <w:sz w:val="24"/>
          <w:szCs w:val="24"/>
          <w:highlight w:val="white"/>
        </w:rPr>
        <w:t xml:space="preserve">итель предоставляет гарантию на выполненные Работы. Гарантия на выполненные Работы исчи</w:t>
      </w:r>
      <w:r>
        <w:rPr>
          <w:color w:val="000000" w:themeColor="text1"/>
          <w:sz w:val="24"/>
          <w:szCs w:val="24"/>
          <w:highlight w:val="white"/>
        </w:rPr>
        <w:t xml:space="preserve">сляется с даты подписания Сторонами Акта выполненных работ (или УПД) и составляет 12 месяцев</w:t>
      </w:r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Все споры и разногласия </w:t>
      </w:r>
      <w:r>
        <w:rPr>
          <w:color w:val="000000" w:themeColor="text1"/>
          <w:sz w:val="24"/>
          <w:szCs w:val="24"/>
          <w:highlight w:val="white"/>
        </w:rPr>
        <w:t xml:space="preserve">по Договору решаются Сторонами путем переговоров </w:t>
        <w:br/>
        <w:t xml:space="preserve">с обязательным исполн</w:t>
      </w:r>
      <w:r>
        <w:rPr>
          <w:color w:val="000000" w:themeColor="text1"/>
          <w:sz w:val="24"/>
          <w:szCs w:val="24"/>
          <w:highlight w:val="white"/>
        </w:rPr>
        <w:t xml:space="preserve">ен</w:t>
      </w:r>
      <w:r>
        <w:rPr>
          <w:color w:val="000000" w:themeColor="text1"/>
          <w:sz w:val="24"/>
          <w:szCs w:val="24"/>
          <w:highlight w:val="white"/>
        </w:rPr>
        <w:t xml:space="preserve">ием досудебного урегулирования споров. Срок ответа </w:t>
        <w:br/>
        <w:t xml:space="preserve">на претензию составляет 10 рабочих дней с даты ее получения Стороной. Если споры не могут быть разрешены путем переговоров, они передаются на рассмотрение в Арбитражный суд </w:t>
        <w:br/>
        <w:t xml:space="preserve">по месту нахождения Заказчика.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Информация и конфиденциальность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</w:t>
      </w:r>
      <w:r>
        <w:rPr>
          <w:color w:val="000000" w:themeColor="text1"/>
          <w:sz w:val="24"/>
          <w:szCs w:val="24"/>
          <w:highlight w:val="white"/>
        </w:rPr>
        <w:t xml:space="preserve">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</w:t>
      </w:r>
      <w:r>
        <w:rPr>
          <w:color w:val="000000" w:themeColor="text1"/>
          <w:sz w:val="24"/>
          <w:szCs w:val="24"/>
          <w:highlight w:val="white"/>
        </w:rPr>
        <w:t xml:space="preserve">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6.1.1</w:t>
      </w:r>
      <w:r>
        <w:rPr>
          <w:color w:val="000000" w:themeColor="text1"/>
          <w:sz w:val="24"/>
          <w:szCs w:val="24"/>
          <w:highlight w:val="white"/>
        </w:rPr>
        <w:tab/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6.1.2</w:t>
      </w:r>
      <w:r>
        <w:rPr>
          <w:color w:val="000000" w:themeColor="text1"/>
          <w:sz w:val="24"/>
          <w:szCs w:val="24"/>
          <w:highlight w:val="white"/>
        </w:rPr>
        <w:tab/>
        <w:t xml:space="preserve">Сторона раскроет только ту часть Конфиденциальной информации, рас</w:t>
      </w:r>
      <w:r>
        <w:rPr>
          <w:color w:val="000000" w:themeColor="text1"/>
          <w:sz w:val="24"/>
          <w:szCs w:val="24"/>
          <w:highlight w:val="white"/>
        </w:rPr>
        <w:t xml:space="preserve">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Соответствующая Сторона настоящего договора несёт ответственность за действия (бездействие) своих работников и иных лиц, получивших доступ к Конфиденциальной информации.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Для целей настоящег</w:t>
      </w:r>
      <w:r>
        <w:rPr>
          <w:color w:val="000000" w:themeColor="text1"/>
          <w:sz w:val="24"/>
          <w:szCs w:val="24"/>
          <w:highlight w:val="white"/>
        </w:rPr>
        <w:t xml:space="preserve">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</w:t>
      </w:r>
      <w:r>
        <w:rPr>
          <w:color w:val="000000" w:themeColor="text1"/>
          <w:sz w:val="24"/>
          <w:szCs w:val="24"/>
          <w:highlight w:val="white"/>
        </w:rPr>
        <w:t xml:space="preserve">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повлёкшее получение доступа к такой информации со стороны каких-либо третьих лиц.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Соответствующая Сторона несёт ответственность за убытки, которые могут быть причинены другой Стороне</w:t>
      </w:r>
      <w:r>
        <w:rPr>
          <w:color w:val="000000" w:themeColor="text1"/>
          <w:sz w:val="24"/>
          <w:szCs w:val="24"/>
          <w:highlight w:val="white"/>
        </w:rPr>
        <w:t xml:space="preserve">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142" w:leader="none"/>
          <w:tab w:val="clear" w:pos="720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Конфиденциальной информацией является: стоимость товаров, работ, услуг по договору, персональные данные, сведения о взаиморасчета</w:t>
      </w:r>
      <w:r>
        <w:rPr>
          <w:color w:val="000000" w:themeColor="text1"/>
          <w:sz w:val="24"/>
          <w:szCs w:val="24"/>
          <w:highlight w:val="white"/>
        </w:rPr>
        <w:t xml:space="preserve">х сторон и иная информация, являющаяся конфиденциальной в соответствии с обычаями делового оборота; при этом передачу особо ценной информации, представляющей собой Коммерческую тайну, Стороны оформляют Актом приема-передачи указанной информации (сведений).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6.5.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Соблюдение антикоррупционных требований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567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рамках исполнения обязательств Сторон по соблюдению антикоррупционно</w:t>
      </w:r>
      <w:r>
        <w:rPr>
          <w:color w:val="000000" w:themeColor="text1"/>
          <w:sz w:val="24"/>
          <w:szCs w:val="24"/>
          <w:highlight w:val="white"/>
        </w:rPr>
        <w:t xml:space="preserve">го законодательства Российской Федерации, а также иных международно-правовых актов, имеющих целью профилактику коррупции, при исполнении своих обязательств по настоящему Договору, Стороны, их аффилированные лица, работники или посредники не осуществляют де</w:t>
      </w:r>
      <w:r>
        <w:rPr>
          <w:color w:val="000000" w:themeColor="text1"/>
          <w:sz w:val="24"/>
          <w:szCs w:val="24"/>
          <w:highlight w:val="white"/>
        </w:rPr>
        <w:t xml:space="preserve">йствия, квалифицируемые действующим законодательством как коррупционные, в том числе: не выплачивают, не предлагают выплатить и не разрешают выплату каких-либо денежных средств или ценностей, прямо или косвенно (в том числе, подарки, предоставление прав, у</w:t>
      </w:r>
      <w:r>
        <w:rPr>
          <w:color w:val="000000" w:themeColor="text1"/>
          <w:sz w:val="24"/>
          <w:szCs w:val="24"/>
          <w:highlight w:val="white"/>
        </w:rPr>
        <w:t xml:space="preserve">слуг, имущества) любым лицам, для оказания влияния на действия или решения этих лиц с целью получить какие-либо неправомерные преимущества или иные неправомерные цели. Стороны не осуществляют действия, квалифицируемые применимым для целей настоящего Догово</w:t>
      </w:r>
      <w:r>
        <w:rPr>
          <w:color w:val="000000" w:themeColor="text1"/>
          <w:sz w:val="24"/>
          <w:szCs w:val="24"/>
          <w:highlight w:val="white"/>
        </w:rPr>
        <w:t xml:space="preserve">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В случае наруше</w:t>
      </w:r>
      <w:r>
        <w:rPr>
          <w:color w:val="000000" w:themeColor="text1"/>
          <w:sz w:val="24"/>
          <w:szCs w:val="24"/>
          <w:highlight w:val="white"/>
        </w:rPr>
        <w:t xml:space="preserve">ния одной Стороной указанных обязательств или возникновения у Стороны подозрений, что произошло или может произойти нарушение каких-либо антикоррупционных условий, Сторона имеет право расторгнуть Договор в одностороннем порядке полностью или в части, напра</w:t>
      </w:r>
      <w:r>
        <w:rPr>
          <w:color w:val="000000" w:themeColor="text1"/>
          <w:sz w:val="24"/>
          <w:szCs w:val="24"/>
          <w:highlight w:val="white"/>
        </w:rPr>
        <w:t xml:space="preserve">вив письменное уведомление о расторжении Договора нарушающей Стороне. Сторона, по чьей инициативе был расторгнут настоящий Контракт в соответствии с положениями настоящей статьи, вправе требовать возмещения всех возникших убытков, включая упущенную выгоду.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709"/>
        <w:jc w:val="both"/>
        <w:spacing w:after="0" w:afterAutospacing="0" w:line="247" w:lineRule="auto"/>
        <w:tabs>
          <w:tab w:val="num" w:pos="720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Форс-мажорные обстоятельства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Ни одна из Сторон Договора не несет ответственности перед другой Стороной за </w:t>
      </w:r>
      <w:r>
        <w:rPr>
          <w:color w:val="000000" w:themeColor="text1"/>
          <w:sz w:val="24"/>
          <w:szCs w:val="24"/>
          <w:highlight w:val="white"/>
        </w:rPr>
        <w:t xml:space="preserve">невыполнение или ненадлежащее выполнение принятых на себя обязательств по Договору, если такое невыполнение или ненадлежащее выполнение вызвано действием обстоятельств непреодолимой силы (форс-мажор), возникших помимо воли и желания Сторон, которые нельзя </w:t>
      </w:r>
      <w:r>
        <w:rPr>
          <w:color w:val="000000" w:themeColor="text1"/>
          <w:sz w:val="24"/>
          <w:szCs w:val="24"/>
          <w:highlight w:val="white"/>
        </w:rPr>
        <w:t xml:space="preserve">предвидеть или избежать, включая объявленную или фактическую войну, гражданские волнения, эпидемии, блокаду, землетрясения, наводнения, пожары, изменения в законодательстве страны и другие чрезвычайные и непредотвратимые при данных условиях обстоятельства.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наступления форс-мажорных обстоятельств Сторона должна в течение 3 (трех) рабочих дней известить другую Сторону в письменной форме любым доступным способом, обеспечивающим своевременное получение информации и предоставить </w:t>
      </w:r>
      <w:r>
        <w:rPr>
          <w:color w:val="000000" w:themeColor="text1"/>
          <w:sz w:val="24"/>
          <w:szCs w:val="24"/>
          <w:highlight w:val="white"/>
        </w:rPr>
        <w:t xml:space="preserve">документ, выданный соответствующим компетентным органом, подтверждающим наличие и продолжительность действия непреодолимой силы. Извещение должно содержать данные о характере обстоятельств, оценку их влияния на возможность исполнения Стороной своих обязате</w:t>
      </w:r>
      <w:r>
        <w:rPr>
          <w:color w:val="000000" w:themeColor="text1"/>
          <w:sz w:val="24"/>
          <w:szCs w:val="24"/>
          <w:highlight w:val="white"/>
        </w:rPr>
        <w:t xml:space="preserve">льств по данному Договору, а также предполагаемые сроки их действия. Не уведомление или несвоевременное уведомление лишает Стороны права ссылаться на вышеуказанные обстоятельства как основание, освобождающее от ответственности за неисполнение обязательств.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Срок исполнения обязательств по настоящему договору переносится соразмерно времени, в течение которого действовали такие обстоятельства.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Не относится к форс-мажорным обстоятельствам отсутствие на рынке нужных для исполнения Договора Товаров либо отсутствие у Исполнителя необходимых денежных средств.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В случае если обстоятельства Форс-мажора длятся более 14-ти дней, любая из Сторон имеет право расторгнуть настоящий Договор в одностороннем внесудебном порядке, направив соответствующее письменное уведомление другой Стороне.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tabs>
          <w:tab w:val="num" w:pos="426" w:leader="none"/>
        </w:tabs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Срок действия договора. Порядок расторжения договора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tabs>
          <w:tab w:val="num" w:pos="426" w:leader="none"/>
        </w:tabs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Настоящий договор вступает в силу с момента его под</w:t>
      </w:r>
      <w:r>
        <w:rPr>
          <w:color w:val="000000" w:themeColor="text1"/>
          <w:sz w:val="24"/>
          <w:szCs w:val="24"/>
          <w:highlight w:val="white"/>
        </w:rPr>
        <w:t xml:space="preserve">писания и действует до полного исполнения Сторонами своих обязательств, возникших в период действия Договора. В части ответственности по обязательствам, связанным с нарушением условий Договора – до полного удовлетворения предъявленных Сторонами требований.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Настоящий Договор может быть расто</w:t>
      </w:r>
      <w:r>
        <w:rPr>
          <w:color w:val="000000" w:themeColor="text1"/>
          <w:sz w:val="24"/>
          <w:szCs w:val="24"/>
          <w:highlight w:val="white"/>
        </w:rPr>
        <w:t xml:space="preserve">ргнут по соглашению Сторон или в одностороннем внесудебном порядке по инициативе одной из Сторон. В последнем случае заинтересованная Сторона письменно уведомляет другую Сторону о расторжении Договора не позднее, чем за 10 рабочих дней до даты расторжения.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426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До момента расторжения Договора Стороны обязаны произвести сверку взаиморасчетов и полностью рассчитаться друг с другом.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5"/>
        </w:numPr>
        <w:ind w:left="0" w:firstLine="709"/>
        <w:jc w:val="both"/>
        <w:spacing w:after="0" w:afterAutospacing="0" w:line="247" w:lineRule="auto"/>
        <w:tabs>
          <w:tab w:val="num" w:pos="426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В случае нарушения Исполнителем своих обязательств, Договор продолжает свое действие до полного удовлетворения Исполнителем, предъявляемых Заказчиком требования, в том числе и не ограничиваясь этим, о взыскании неустойки (пеней, штрафов).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5"/>
        </w:numPr>
        <w:ind w:left="0" w:firstLine="0"/>
        <w:jc w:val="center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Заверения об обстоятельствах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left="0" w:firstLine="0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10.1. В соответствии со ст. 431.2 ГК РФ</w:t>
      </w:r>
      <w:r>
        <w:rPr>
          <w:b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Стороны заявляют и гарантируют, что на момент заключения настоящего Договора: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они зарегистрированы в качестве юридических лиц (индивидуальных предпринимателей (если применимо) по законодательству РФ и не находятся в процессе ликвидации или банкротства, в отношении них не открыто конкурсное производство;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исполнительные органы Сторон находятся и осуществляют функции управления по месту их нахождения;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получили в установленном порядке в</w:t>
      </w:r>
      <w:r>
        <w:rPr>
          <w:color w:val="000000" w:themeColor="text1"/>
          <w:sz w:val="24"/>
          <w:szCs w:val="24"/>
          <w:highlight w:val="white"/>
        </w:rPr>
        <w:t xml:space="preserve">се необходимые допуски и разрешения, согласования и одобрения для заключения и исполнения Договора, в том числе на совершение крупной сделки, сделки с заинтересованностью (если применимо) в компетентных органах управления Сторон в соответствии с требования</w:t>
      </w:r>
      <w:r>
        <w:rPr>
          <w:color w:val="000000" w:themeColor="text1"/>
          <w:sz w:val="24"/>
          <w:szCs w:val="24"/>
          <w:highlight w:val="white"/>
        </w:rPr>
        <w:t xml:space="preserve">ми действующего законодательства и учредительных документов, и заключение и последующее исполнение Договора не нарушает норм законодательства РФ, учредительных документов и любых других договоров (соглашений), которые заключены Сторонами с третьими лицами;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имеют право осуществлять вид экономической деятельности, предусмотренный Договором;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против них не ведутся судебные разбирательства, которые способны подорвать материально-техническую и/ или финансовую основу их деятельности и, тем самым, воспрепятствовать исполнению обязанностей по настоящему Договору;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лица, подписывающие настоящий Договор от имени Сторон, имеют все необходимые полномочия, предоставляемые в соответствии с действующим законодательством РФ и учредительными документами;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являются добросовестным налогоплательщико</w:t>
      </w:r>
      <w:r>
        <w:rPr>
          <w:color w:val="000000" w:themeColor="text1"/>
          <w:sz w:val="24"/>
          <w:szCs w:val="24"/>
          <w:highlight w:val="white"/>
        </w:rPr>
        <w:t xml:space="preserve">м - Сторонами уплачиваются все налоги и сборы в соответствии с законодательством РФ, своевременно и в полном объеме подается налоговая отчетность; Стороны не совершают сделки/операции с целью неуплаты или неполной уплаты и/или зачета/возврата суммы налога;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подтв</w:t>
      </w:r>
      <w:r>
        <w:rPr>
          <w:color w:val="000000" w:themeColor="text1"/>
          <w:sz w:val="24"/>
          <w:szCs w:val="24"/>
          <w:highlight w:val="white"/>
        </w:rPr>
        <w:t xml:space="preserve">ерждают соответствие финансово-хозяйственного состояния юридического лица и иной информации, характеризующей его деятельность, Методике проведения оценки юридического лица на базе интерактивного сервиса «Личный кабинет налогоплательщика юридического лица».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Стороны не искажают факты хозяйственной жизни и не ведут фиктивный документооборот.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подтверждают и принимают приверженность нормам и принципам, разработанного и утвержденного в ООО «УК Глобал Портс» Кодекса поведения поставщика (исполнителя, подрядчика), размещенного на официальном сайте Группы компаний Global Ports </w:t>
      </w:r>
      <w:hyperlink r:id="rId12" w:tooltip="https://www.globalports.com/" w:history="1">
        <w:r>
          <w:rPr>
            <w:rStyle w:val="939"/>
            <w:color w:val="000000" w:themeColor="text1"/>
            <w:sz w:val="24"/>
            <w:szCs w:val="24"/>
            <w:highlight w:val="white"/>
          </w:rPr>
          <w:t xml:space="preserve">https://www.globalports.com/</w:t>
        </w:r>
      </w:hyperlink>
      <w:r>
        <w:rPr>
          <w:color w:val="000000" w:themeColor="text1"/>
          <w:sz w:val="24"/>
          <w:szCs w:val="24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11. Конфликт интересов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jc w:val="left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11.1. В рамках исполнения обязательств по настоящему Договору каждая из Сторон гарант</w:t>
      </w:r>
      <w:r>
        <w:rPr>
          <w:color w:val="000000" w:themeColor="text1"/>
          <w:sz w:val="24"/>
          <w:szCs w:val="24"/>
          <w:highlight w:val="white"/>
        </w:rPr>
        <w:t xml:space="preserve">ирует отсутствие потенциального и/или фактического конфликта интересов на момент заключения настоящего Договора, а также несет обязательство проинформировать другую Сторону о любом потенциальном и/или фактическом конфликте интересов в течение всего срока д</w:t>
      </w:r>
      <w:r>
        <w:rPr>
          <w:color w:val="000000" w:themeColor="text1"/>
          <w:sz w:val="24"/>
          <w:szCs w:val="24"/>
          <w:highlight w:val="white"/>
        </w:rPr>
        <w:t xml:space="preserve">ействия Договора. При этом под конфликтом интересов понимается ситуация, при которой личная заинтересованность (прямая или косвенная) аффилированного лица, работника Стороны влияет или может повлиять на надлежащее, объективное исполнение им обязанностей в </w:t>
      </w:r>
      <w:r>
        <w:rPr>
          <w:color w:val="000000" w:themeColor="text1"/>
          <w:sz w:val="24"/>
          <w:szCs w:val="24"/>
          <w:highlight w:val="white"/>
        </w:rPr>
        <w:t xml:space="preserve">рамках настоящего Договора, и при которой возникает или может возникнуть противоречие между личной заинтересованностью аффилированного лица, работника Стороны и правами и законными интересами другой Стороны, способное привести к причинению ущерба Стороне.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11.2. В случае нарушения одной Сторон</w:t>
      </w:r>
      <w:r>
        <w:rPr>
          <w:color w:val="000000" w:themeColor="text1"/>
          <w:sz w:val="24"/>
          <w:szCs w:val="24"/>
          <w:highlight w:val="white"/>
        </w:rPr>
        <w:t xml:space="preserve">ой указанных обязательств или возникновения у Стороны обоснованных подозрений, что произошло или может произойти нарушение каких-либо условий о конфликте интересов, Сторона имеет право расторгнуть Договор в одностороннем порядке полностью или в части, напр</w:t>
      </w:r>
      <w:r>
        <w:rPr>
          <w:color w:val="000000" w:themeColor="text1"/>
          <w:sz w:val="24"/>
          <w:szCs w:val="24"/>
          <w:highlight w:val="white"/>
        </w:rPr>
        <w:t xml:space="preserve">авив письменное уведомление о расторжении Договора нарушающей Стороне. Сторона, по чьей инициативе был расторгнут настоящий Договор в соответствии с положениями настоящей статьи, вправе требовать возмещения всех возникших убытков, включая упущенную выгоду.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</w:t>
      </w:r>
      <w:r>
        <w:rPr>
          <w:b/>
          <w:color w:val="000000" w:themeColor="text1"/>
          <w:sz w:val="24"/>
          <w:szCs w:val="24"/>
          <w:highlight w:val="white"/>
        </w:rPr>
        <w:t xml:space="preserve">2</w:t>
      </w:r>
      <w:r>
        <w:rPr>
          <w:b/>
          <w:color w:val="000000" w:themeColor="text1"/>
          <w:sz w:val="24"/>
          <w:szCs w:val="24"/>
          <w:highlight w:val="white"/>
        </w:rPr>
        <w:t xml:space="preserve">. Заключительные положения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jc w:val="left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.1. Стороны пришли к соглашению, что для более быстрой передачи информации, касающейся Договора, в том числе, письма, уведомления, претензии, </w:t>
      </w:r>
      <w:r>
        <w:rPr>
          <w:color w:val="000000" w:themeColor="text1"/>
          <w:sz w:val="24"/>
          <w:szCs w:val="24"/>
          <w:highlight w:val="white"/>
        </w:rPr>
        <w:t xml:space="preserve">а также иная информация и документация, касающаяся исполнения условий настоящего договора, переданные по электронно-техническим каналам связи (электронная почта) по приведенным ниже адресам, имеют полную юридическую силу, принимаются Сторонами к исполнению</w:t>
      </w:r>
      <w:r>
        <w:rPr>
          <w:color w:val="000000" w:themeColor="text1"/>
          <w:sz w:val="24"/>
          <w:szCs w:val="24"/>
          <w:highlight w:val="white"/>
        </w:rPr>
        <w:t xml:space="preserve"> и могут быть использованы в качестве письменных доказательств при рассмотрении споров. Датой получения указанной выше корреспонденции является дата отправки корреспонденции одной Стороной на электронный адрес другой Стороны, указанный в настоящем пункте: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</w:rPr>
        <w:t xml:space="preserve">Электронный адрес Исполнителя: 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Электронный адрес Заказчика</w:t>
      </w:r>
      <w:r>
        <w:rPr>
          <w:color w:val="000000" w:themeColor="text1"/>
          <w:sz w:val="24"/>
          <w:szCs w:val="24"/>
          <w:highlight w:val="white"/>
        </w:rPr>
        <w:t xml:space="preserve">: </w:t>
      </w:r>
      <w:r>
        <w:rPr>
          <w:color w:val="000000" w:themeColor="text1"/>
          <w:sz w:val="24"/>
          <w:szCs w:val="24"/>
          <w:highlight w:val="white"/>
        </w:rPr>
        <w:t xml:space="preserve">alexander.krikunov</w:t>
      </w:r>
      <w:r>
        <w:rPr>
          <w:color w:val="000000" w:themeColor="text1"/>
          <w:sz w:val="24"/>
          <w:szCs w:val="24"/>
          <w:highlight w:val="white"/>
        </w:rPr>
        <w:t xml:space="preserve">@globalports.com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При этом Стороны не освобождаются от обязанности направить друг другу подписанные и заверенные печатью с их Стороны подлинные экземпляры документов.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Документы, отправленные с использованием электронной почты, имеют силу оригинала, до момента получения экземпляра документа с оригинальными подписями и печатями Сторон.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.2. Настоящий Договор составлен в двух экземплярах, имеющих одинаковую юридическую силу.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.3. Приложения к настоящему Договору являются его неотъемлемой частью.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.4. Все изменения, дополнения к Договору действительны лишь в том случае, если они оформлены в письменной форме и подписаны уполномоченными лицами обеих Сторон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.5. С момента подписания настоящего Договора все предыдущие письменные или устные соглашения, обсуждения, обещания, переписка между Сторонами относительно предмета Договора теряют силу.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b/>
          <w:color w:val="000000" w:themeColor="text1"/>
          <w:sz w:val="24"/>
          <w:szCs w:val="24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1</w:t>
      </w:r>
      <w:r>
        <w:rPr>
          <w:bCs/>
          <w:color w:val="000000" w:themeColor="text1"/>
          <w:sz w:val="24"/>
          <w:szCs w:val="24"/>
          <w:highlight w:val="white"/>
        </w:rPr>
        <w:t xml:space="preserve">2</w:t>
      </w:r>
      <w:r>
        <w:rPr>
          <w:bCs/>
          <w:color w:val="000000" w:themeColor="text1"/>
          <w:sz w:val="24"/>
          <w:szCs w:val="24"/>
          <w:highlight w:val="white"/>
        </w:rPr>
        <w:t xml:space="preserve">.6. </w:t>
      </w:r>
      <w:r>
        <w:rPr>
          <w:color w:val="000000" w:themeColor="text1"/>
          <w:sz w:val="24"/>
          <w:szCs w:val="24"/>
          <w:highlight w:val="white"/>
        </w:rPr>
        <w:t xml:space="preserve">Во всем остальном, что не предусмотрено настоящим Договором и приложениями к нему, Стороны руководствуются действующим законодательством Российской Федерации.</w:t>
      </w: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.7. Ни одна из Сторон настоящего Договора не имеет права без письменного согласия другой Стороны передавать свои права и обязанности по настоящему Договору третьим лицам.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.8. Стороны не имеют никаких сопутствующих устных договорённостей. Содержание текста настоящего договора полностью соответствует действительному волеизъявлению Сторон. Лиц</w:t>
      </w:r>
      <w:r>
        <w:rPr>
          <w:color w:val="000000" w:themeColor="text1"/>
          <w:sz w:val="24"/>
          <w:szCs w:val="24"/>
          <w:highlight w:val="white"/>
        </w:rPr>
        <w:t xml:space="preserve">а, подписывающие настоящий Договор, гарантируют наличие у них всех необходимых полномочий на его подписание, а также отсутствие каких-либо известных им ограничений на его заключение в силу учредительных документов Сторон и действующего законодательства РФ.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1</w:t>
      </w:r>
      <w:r>
        <w:rPr>
          <w:bCs/>
          <w:color w:val="000000" w:themeColor="text1"/>
          <w:sz w:val="24"/>
          <w:szCs w:val="24"/>
          <w:highlight w:val="white"/>
        </w:rPr>
        <w:t xml:space="preserve">2</w:t>
      </w:r>
      <w:r>
        <w:rPr>
          <w:bCs/>
          <w:color w:val="000000" w:themeColor="text1"/>
          <w:sz w:val="24"/>
          <w:szCs w:val="24"/>
          <w:highlight w:val="white"/>
        </w:rPr>
        <w:t xml:space="preserve">.9. </w:t>
      </w:r>
      <w:r>
        <w:rPr>
          <w:color w:val="000000" w:themeColor="text1"/>
          <w:sz w:val="24"/>
          <w:szCs w:val="24"/>
          <w:highlight w:val="white"/>
        </w:rPr>
        <w:t xml:space="preserve">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.10</w:t>
      </w:r>
      <w:r>
        <w:rPr>
          <w:color w:val="000000" w:themeColor="text1"/>
          <w:sz w:val="24"/>
          <w:szCs w:val="24"/>
          <w:highlight w:val="white"/>
        </w:rPr>
        <w:t xml:space="preserve">. Нумерация, расположение и названия статей настоящего Договора даны лишь для удобства его прочтения и не влияют на его толкование. Недействительность какого-либо из условий настоящего Договора не влечет за собой недействительности всего Договора в целом.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.11. Стороны обязаны сообщать друг другу об изменении своего юридического адреса, банковских реквизитов, номеров телефонов, в течение 7 дней с даты </w:t>
      </w:r>
      <w:r>
        <w:rPr>
          <w:color w:val="000000" w:themeColor="text1"/>
          <w:sz w:val="24"/>
          <w:szCs w:val="24"/>
          <w:highlight w:val="white"/>
        </w:rPr>
        <w:t xml:space="preserve">таких изменений. Сторона, нарушившая данное обязательство, несет все связанные с этим риски (в т. ч. неполучение любой корреспонденции в силу изменения адреса места нахождения), а также возмещает доказанные убытки, связанные с не извещением другой Стороны.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.12. Прекращение настоящего Договора не освобождает Стороны от исполнения обязательств, возникших в период его действия.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1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.13. В случае заключения настоящего Договора на бумажном носителе дата подписания настоящего Договора определяется календарной датой, указанной на первом листе настоящего Договора в правом верхнем углу после заголовка.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 w:firstLine="709"/>
        <w:jc w:val="both"/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В случае заключения настоящего </w:t>
      </w:r>
      <w:r>
        <w:rPr>
          <w:color w:val="000000" w:themeColor="text1"/>
          <w:sz w:val="24"/>
          <w:szCs w:val="24"/>
          <w:highlight w:val="white"/>
        </w:rPr>
        <w:t xml:space="preserve">Договора с использованием электронного </w:t>
      </w:r>
      <w:r>
        <w:rPr>
          <w:color w:val="000000" w:themeColor="text1"/>
          <w:sz w:val="24"/>
          <w:szCs w:val="24"/>
          <w:highlight w:val="white"/>
        </w:rPr>
        <w:t xml:space="preserve">и поставке насосного оборудования  </w:t>
      </w:r>
      <w:r>
        <w:rPr>
          <w:color w:val="000000" w:themeColor="text1"/>
          <w:sz w:val="24"/>
          <w:szCs w:val="24"/>
          <w:highlight w:val="white"/>
        </w:rPr>
        <w:t xml:space="preserve">документооборота путем обмена электронными документами, подписанными электронными подписями Сторон, датой подписания настоящего Договора является дата, в которую последняя из Сторон подпишет текст настоящего Договора.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right="-2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13. Приложения</w:t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both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7" w:lineRule="auto"/>
        <w:shd w:val="clear" w:color="auto" w:fill="ffffff"/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  <w:highlight w:val="yellow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13.1. Прилож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ение № 1 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хническое Задание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на проведение работ по капитальному </w:t>
        <w:br/>
        <w:t xml:space="preserve">ремонту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и поставке насосного оборудования  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ка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нализационно-насосных станций №№ 5.1, 5.2, 3</w:t>
      </w:r>
      <w:r>
        <w:rPr>
          <w:rFonts w:ascii="Times New Roman" w:hAnsi="Times New Roman"/>
          <w:b w:val="0"/>
          <w:bCs w:val="0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br/>
        <w:t xml:space="preserve">ООО «Логистический Парк «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t xml:space="preserve">Янино</w:t>
      </w:r>
      <w:r>
        <w:rPr>
          <w:rFonts w:ascii="Times New Roman" w:hAnsi="Times New Roman"/>
          <w:b w:val="0"/>
          <w:bCs w:val="0"/>
          <w:color w:val="000000" w:themeColor="text1"/>
          <w:spacing w:val="-1"/>
          <w:sz w:val="24"/>
          <w:szCs w:val="24"/>
        </w:rPr>
        <w:t xml:space="preserve">».</w:t>
      </w:r>
      <w:r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  <w:highlight w:val="yellow"/>
        </w:rPr>
      </w:r>
      <w:r>
        <w:rPr>
          <w:rFonts w:ascii="Times New Roman" w:hAnsi="Times New Roman"/>
          <w:b/>
          <w:bCs/>
          <w:color w:val="000000" w:themeColor="text1"/>
          <w:spacing w:val="-4"/>
          <w:sz w:val="24"/>
          <w:szCs w:val="24"/>
          <w:highlight w:val="yellow"/>
        </w:rPr>
      </w:r>
    </w:p>
    <w:p>
      <w:pPr>
        <w:jc w:val="both"/>
        <w:spacing w:after="0" w:afterAutospacing="0" w:line="247" w:lineRule="auto"/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ind w:right="-2"/>
        <w:jc w:val="center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none"/>
        </w:rPr>
      </w:pPr>
      <w:r>
        <w:rPr>
          <w:b/>
          <w:color w:val="000000" w:themeColor="text1"/>
          <w:sz w:val="24"/>
          <w:szCs w:val="24"/>
          <w:highlight w:val="white"/>
        </w:rPr>
        <w:t xml:space="preserve">14. Юридические адреса и подписи сторон</w:t>
      </w:r>
      <w:r>
        <w:rPr>
          <w:b/>
          <w:bCs/>
          <w:color w:val="000000" w:themeColor="text1"/>
          <w:sz w:val="24"/>
          <w:szCs w:val="24"/>
          <w:highlight w:val="none"/>
        </w:rPr>
      </w:r>
      <w:r>
        <w:rPr>
          <w:b/>
          <w:bCs/>
          <w:color w:val="000000" w:themeColor="text1"/>
          <w:sz w:val="24"/>
          <w:szCs w:val="24"/>
          <w:highlight w:val="none"/>
        </w:rPr>
      </w:r>
    </w:p>
    <w:p>
      <w:pPr>
        <w:ind w:right="-2"/>
        <w:jc w:val="left"/>
        <w:spacing w:after="0" w:afterAutospacing="0" w:line="247" w:lineRule="auto"/>
        <w:rPr>
          <w:b/>
          <w:bCs/>
          <w:color w:val="000000" w:themeColor="text1"/>
          <w:sz w:val="24"/>
          <w:szCs w:val="24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  <w:r>
        <w:rPr>
          <w:b/>
          <w:bCs/>
          <w:color w:val="000000" w:themeColor="text1"/>
          <w:sz w:val="24"/>
          <w:szCs w:val="24"/>
          <w:highlight w:val="white"/>
        </w:rPr>
      </w:r>
    </w:p>
    <w:tbl>
      <w:tblPr>
        <w:tblW w:w="102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4"/>
        <w:gridCol w:w="49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Исполнитель 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  <w:t xml:space="preserve">КраткноеНаименованиеКА</w:t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  <w:fldChar w:fldCharType="end"/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ОГРН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ОГРН_КА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ИНН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ИНН_КА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КПП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КПП_КА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Адрес местонахождения: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ФактАдресКА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Адрес для корреспонденции: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КоррАдресКА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Р/с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РС_КА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Банк: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БанкНаимен_КА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К/с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КоррСчет_КА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БИК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color w:val="000000" w:themeColor="text1"/>
                <w:sz w:val="24"/>
                <w:szCs w:val="24"/>
              </w:rPr>
              <w:t xml:space="preserve">БИК_КА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Заказчик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sdt>
            <w:sdtPr>
              <w15:appearance w15:val="boundingBox"/>
              <w:id w:val="-1617372874"/>
              <w:placeholder>
                <w:docPart w:val="da549e04a0e141ea88f1982a4f25f868"/>
              </w:placeholder>
              <w:rPr/>
            </w:sdtPr>
            <w:sdtContent>
              <w:p>
                <w:pPr>
                  <w:spacing w:line="247" w:lineRule="auto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 w:themeColor="text1"/>
                    <w:spacing w:val="-6"/>
                    <w:sz w:val="24"/>
                    <w:szCs w:val="24"/>
                  </w:rPr>
                  <w:t xml:space="preserve">ООО «Логистический Парк «</w:t>
                </w:r>
                <w:r>
                  <w:rPr>
                    <w:b/>
                    <w:bCs/>
                    <w:color w:val="000000" w:themeColor="text1"/>
                    <w:spacing w:val="-6"/>
                    <w:sz w:val="24"/>
                    <w:szCs w:val="24"/>
                  </w:rPr>
                  <w:t xml:space="preserve">Янино</w:t>
                </w:r>
                <w:r>
                  <w:rPr>
                    <w:b/>
                    <w:bCs/>
                    <w:color w:val="000000" w:themeColor="text1"/>
                    <w:spacing w:val="-6"/>
                    <w:sz w:val="24"/>
                    <w:szCs w:val="24"/>
                  </w:rPr>
                  <w:t xml:space="preserve">»</w: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</w:rPr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</w:rPr>
                </w:r>
              </w:p>
            </w:sdtContent>
          </w:sdt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ОГРН 1027806861213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ИНН 7813173683 КПП 470301001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contextualSpacing/>
              <w:spacing w:after="0" w:line="247" w:lineRule="auto"/>
              <w:shd w:val="clear" w:color="auto" w:fill="ffffff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Адрес местонахождения: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begin"/>
            </w:r>
            <w:bookmarkStart w:id="18" w:name="ЮРИД_АДРЕС_ОРГ"/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188689, Ленинградская область, р-н Всеволожский, гп. Янино-1, ул Въезд Логистический (логистический Парк Янино Тер.), зд. 5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end"/>
            </w:r>
            <w:bookmarkEnd w:id="18"/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Адрес для корреспонденции: 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188689, Ленинградская 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обл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Всеволожский р-н, Янино-1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гп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Логистический Парк 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Янино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тер., Въезд Логистический 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ул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здание 5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Р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/с  40702810520020004378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Банк: ПЕТЕРБУРГСКИЙ ФИЛИАЛ АО 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ЮНИКРЕДИТ БАНКА г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анкт-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Петербург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К/с  30101810800000000858</w:t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БИК  044030858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spacing w:line="247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________________ / /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47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47" w:lineRule="auto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М.П.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 w:val="false"/>
          </w:tcPr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960"/>
              <w:spacing w:after="0" w:line="247" w:lineRule="auto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________________ /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begin"/>
            </w:r>
            <w:bookmarkStart w:id="19" w:name="ПодписантОрг"/>
            <w:r>
              <w:rPr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Т.И. Гарифьянов</w:t>
            </w:r>
            <w:r>
              <w:rPr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bookmarkEnd w:id="19"/>
            <w:r>
              <w:rPr>
                <w:b/>
                <w:color w:val="000000" w:themeColor="text1"/>
                <w:sz w:val="24"/>
                <w:szCs w:val="24"/>
              </w:rPr>
              <w:t xml:space="preserve">/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line="247" w:lineRule="auto"/>
        <w:shd w:val="nil" w:color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none"/>
        </w:rPr>
        <w:br w:type="page" w:clear="all"/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3118" w:right="0" w:firstLine="283"/>
        <w:jc w:val="right"/>
        <w:spacing w:line="247" w:lineRule="auto"/>
        <w:tabs>
          <w:tab w:val="left" w:pos="3119" w:leader="none"/>
        </w:tabs>
        <w:rPr>
          <w:b/>
          <w:bCs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</w:rPr>
        <w:t xml:space="preserve">Приложение</w:t>
      </w:r>
      <w:r>
        <w:rPr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b/>
          <w:color w:val="000000" w:themeColor="text1"/>
          <w:sz w:val="24"/>
          <w:szCs w:val="24"/>
          <w:lang w:val="ru-RU"/>
        </w:rPr>
        <w:t xml:space="preserve">№ 1</w:t>
      </w:r>
      <w:r>
        <w:rPr>
          <w:bCs/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line="247" w:lineRule="auto"/>
        <w:tabs>
          <w:tab w:val="left" w:pos="3119" w:leader="none"/>
        </w:tabs>
        <w:rPr>
          <w:b/>
          <w:bCs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 xml:space="preserve">                                            </w:t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left"/>
        <w:spacing w:line="247" w:lineRule="auto"/>
        <w:tabs>
          <w:tab w:val="left" w:pos="3119" w:leader="none"/>
        </w:tabs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ru-RU"/>
        </w:rPr>
        <w:t xml:space="preserve">                                             </w:t>
      </w:r>
      <w:r>
        <w:rPr>
          <w:bCs/>
          <w:color w:val="000000" w:themeColor="text1"/>
          <w:sz w:val="24"/>
          <w:szCs w:val="24"/>
        </w:rPr>
        <w:t xml:space="preserve">к Договору на выполнение работ</w:t>
      </w:r>
      <w:r>
        <w:rPr>
          <w:bCs/>
          <w:color w:val="000000" w:themeColor="text1"/>
          <w:sz w:val="24"/>
          <w:szCs w:val="24"/>
        </w:rPr>
        <w:t xml:space="preserve"> от «___»_______20__ г. № 168//ЛПЯ/</w:t>
      </w:r>
      <w:r>
        <w:rPr>
          <w:rFonts w:ascii="Times New Roman" w:hAnsi="Times New Roman"/>
          <w:b/>
          <w:spacing w:val="-4"/>
          <w:sz w:val="24"/>
          <w:szCs w:val="24"/>
          <w:highlight w:val="none"/>
        </w:rPr>
        <w:t xml:space="preserve">25</w:t>
      </w:r>
      <w:r>
        <w:rPr>
          <w:color w:val="000000" w:themeColor="text1"/>
          <w:sz w:val="24"/>
          <w:szCs w:val="24"/>
        </w:rPr>
      </w:r>
      <w:r/>
    </w:p>
    <w:p>
      <w:pPr>
        <w:jc w:val="center"/>
        <w:spacing w:after="0" w:line="247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  <w:highlight w:val="none"/>
        </w:rPr>
      </w:r>
      <w:r>
        <w:rPr>
          <w:rFonts w:ascii="Times New Roman" w:hAnsi="Times New Roman"/>
          <w:b/>
          <w:spacing w:val="-4"/>
          <w:sz w:val="24"/>
          <w:szCs w:val="24"/>
          <w:highlight w:val="none"/>
        </w:rPr>
      </w:r>
    </w:p>
    <w:p>
      <w:pPr>
        <w:jc w:val="center"/>
        <w:spacing w:after="0" w:line="247" w:lineRule="auto"/>
        <w:rPr>
          <w:rFonts w:ascii="Times New Roman" w:hAnsi="Times New Roman"/>
          <w:b/>
          <w:bCs/>
          <w:spacing w:val="-4"/>
          <w:sz w:val="24"/>
          <w:szCs w:val="24"/>
          <w:highlight w:val="none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bCs/>
          <w:spacing w:val="-4"/>
          <w:sz w:val="24"/>
          <w:szCs w:val="24"/>
        </w:rPr>
      </w:r>
      <w:r>
        <w:rPr>
          <w:rFonts w:ascii="Times New Roman" w:hAnsi="Times New Roman"/>
          <w:b/>
          <w:bCs/>
          <w:spacing w:val="-4"/>
          <w:sz w:val="24"/>
          <w:szCs w:val="24"/>
          <w:highlight w:val="none"/>
        </w:rPr>
      </w:r>
    </w:p>
    <w:p>
      <w:pPr>
        <w:jc w:val="center"/>
        <w:spacing w:after="0" w:line="247" w:lineRule="auto"/>
        <w:shd w:val="clear" w:color="auto" w:fill="ffffff"/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на проведение работ по капитальному ремонту и поставке насосного оборудования  канализационно-насосных станций №№ 5.1, 5.2, 3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ООО «Логистический Парк «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Янино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r>
      <w:r>
        <w:rPr>
          <w:rFonts w:ascii="Times New Roman" w:hAnsi="Times New Roman"/>
          <w:b/>
          <w:bCs/>
          <w:spacing w:val="-4"/>
          <w:sz w:val="24"/>
          <w:szCs w:val="24"/>
          <w:highlight w:val="yellow"/>
        </w:rPr>
      </w:r>
    </w:p>
    <w:p>
      <w:pPr>
        <w:jc w:val="center"/>
        <w:spacing w:after="0" w:line="247" w:lineRule="auto"/>
        <w:tabs>
          <w:tab w:val="left" w:pos="5040" w:leader="none"/>
        </w:tabs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  <w:r>
        <w:rPr>
          <w:rFonts w:ascii="Times New Roman" w:hAnsi="Times New Roman"/>
          <w:b/>
          <w:spacing w:val="-4"/>
          <w:sz w:val="24"/>
          <w:szCs w:val="24"/>
        </w:rPr>
      </w:r>
    </w:p>
    <w:tbl>
      <w:tblPr>
        <w:tblW w:w="10168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6658"/>
      </w:tblGrid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ind w:left="142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Место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188689, Ленинградская область, Всеволожский район, городской поселок  Янино-1, въезд Логистический,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5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«Логистический Парк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Наименование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1.Диагностика оборудования КНС №№5.1, 5.2, 3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974"/>
              <w:ind w:left="0" w:right="0" w:firstLine="0"/>
              <w:jc w:val="both"/>
              <w:spacing w:before="0" w:beforeAutospacing="0" w:after="0" w:line="247" w:lineRule="auto"/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szCs w:val="24"/>
              </w:rPr>
              <w:t xml:space="preserve">2.Капитальный ремонт оборудования КНС №№5.1, 5.2, 3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r>
          </w:p>
          <w:p>
            <w:pPr>
              <w:pStyle w:val="974"/>
              <w:ind w:left="0" w:right="0" w:firstLine="0"/>
              <w:jc w:val="both"/>
              <w:spacing w:before="0" w:beforeAutospacing="0" w:after="0" w:line="247" w:lineRule="auto"/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  <w:t xml:space="preserve">3.Наладка о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</w:rPr>
              <w:t xml:space="preserve">борудования 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</w:rPr>
              <w:t xml:space="preserve">КНС №№5.1, 5.2, 3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</w:r>
          </w:p>
          <w:p>
            <w:pPr>
              <w:pStyle w:val="974"/>
              <w:ind w:left="0" w:right="0" w:firstLine="0"/>
              <w:jc w:val="both"/>
              <w:spacing w:before="0" w:beforeAutospacing="0" w:after="0" w:line="247" w:lineRule="auto"/>
              <w:rPr>
                <w:b/>
                <w:bCs/>
                <w:color w:val="auto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1"/>
                <w:sz w:val="24"/>
                <w:szCs w:val="24"/>
                <w:highlight w:val="none"/>
              </w:rPr>
              <w:t xml:space="preserve">4.Поставка материалов и оборудования силами подрядной организации</w:t>
            </w:r>
            <w:r>
              <w:rPr>
                <w:b/>
                <w:bCs/>
                <w:color w:val="auto"/>
                <w:spacing w:val="-1"/>
                <w:sz w:val="24"/>
                <w:szCs w:val="24"/>
              </w:rPr>
            </w:r>
            <w:r>
              <w:rPr>
                <w:b/>
                <w:bCs/>
                <w:color w:val="auto"/>
                <w:spacing w:val="-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W w:w="534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jc w:val="both"/>
              <w:spacing w:after="0" w:line="247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Образующие отходы 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результате работ, подлежащие утилизации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Утилизируются Заказчиком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условия проведения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Начало работ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даты подписания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Договора;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tabs>
                <w:tab w:val="left" w:pos="5279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Окончание работ не более 3 (трех) календарных месяцев.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Источник финансирования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Собственные средства общества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Режим работы предприятия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Align w:val="center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Круглосуточный, круглогодичный. Работа на режимной территории, необходимо оформление пропусков.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подрядчику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должна иметь: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все необходимые лицензии и разрешения на право осуществления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Организация должна предоставить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0" w:right="0" w:firstLine="0"/>
              <w:spacing w:after="0" w:line="247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 акт по результатам выполненных работ (форма КС-2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Справок о стоимости выполненных работ и затрат (форма КС-3)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справка о стоимости выполненных работ и затрат (форма КС-3)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>
          <w:trHeight w:val="9070"/>
        </w:trPr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Перечень и объем требуемых работ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Align w:val="center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КНС 5.1 (ливневая):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4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4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насосов и донных подставок (для 2 насосов)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4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донных подставок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3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погружных насосов марки Грюндфос SL1.75.100.170.2.52S.S.N.51D (2 шт.) или аналогов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3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3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3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    КНС 5.2 (ливневая):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5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5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насоса и донной подставки (для 1 насоса)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5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донной подставки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6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погружного насоса марки Грюндфос SL1.75.100.170.2.52S.S.N.51D (1 шт.) или аналога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6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6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6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КНС 3 (хозбытовая):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</w:p>
          <w:p>
            <w:pPr>
              <w:pStyle w:val="797"/>
              <w:numPr>
                <w:ilvl w:val="0"/>
                <w:numId w:val="27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подготовка КНС к производству работ, откачка воды, удаление ила и т.д.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7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демонтаж неисправных направляющих для насосов и донных подставок (для 2 насосов)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7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новых направляющих и донных подставок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8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погружных насосов марки Грюндфос S.1.80.125.260.4.58H.S.341.G.N/D (2 шт.) или аналогов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8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силовых кабельных линий для насосов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8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монтаж и подключение кабелей автоматики и сигнализации КНС (поплавков)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0"/>
                <w:numId w:val="28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  <w:t xml:space="preserve">пуско-наладочные работы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отчетным материалам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Исполнительная документация должна вестись в соответствии с действующими нормативными документами.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После завершения производства работ предоставить: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-Фото - отчет о проделанной работе (до и после)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документы бухгалтерской отчетности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согласно договора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Особые требования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Опасные работы проводить с обязательным оформлением наряда-допуска.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сметной документации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tabs>
                <w:tab w:val="left" w:pos="606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Нет.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shd w:val="clear" w:color="auto" w:fill="ffffff"/>
              <w:tabs>
                <w:tab w:val="left" w:pos="795" w:leader="none"/>
              </w:tabs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 к технике безопасности и санитарно-эпидемиологического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благополучия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vAlign w:val="center"/>
            <w:textDirection w:val="lrTb"/>
            <w:noWrap w:val="false"/>
          </w:tcPr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правилами РФ.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соответствии с действующими нормами и правилам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«Логистический Парк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  <w:p>
            <w:pPr>
              <w:pStyle w:val="797"/>
              <w:numPr>
                <w:ilvl w:val="1"/>
                <w:numId w:val="22"/>
              </w:num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Руководствоваться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Требованиями действующей нормативной документации по охране труда (приказ Минтруда России от 15.06.2020 № 343н «Об утверждении Правил по охране труда в морских и речных портах»)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34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Дополнительные условия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shd w:val="clear" w:color="ffffff" w:fill="ffffff"/>
            <w:tcW w:w="665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7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13.1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 неисполнение или ненадлежащее исполнение договорных обязательств стороны несут ответственность в соответствии с действующим законодательством РФ.</w:t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r>
          </w:p>
        </w:tc>
      </w:tr>
    </w:tbl>
    <w:p>
      <w:pPr>
        <w:ind w:left="-851"/>
        <w:jc w:val="both"/>
        <w:spacing w:after="0" w:line="247" w:lineRule="auto"/>
        <w:tabs>
          <w:tab w:val="left" w:pos="2835" w:leader="none"/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49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/>
          </w:tcPr>
          <w:p>
            <w:pPr>
              <w:spacing w:line="247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 xml:space="preserve">КраткноеНаименованиеКА</w: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fldChar w:fldCharType="end"/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/>
          </w:tcPr>
          <w:p>
            <w:pPr>
              <w:spacing w:line="247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За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казчик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sdt>
            <w:sdtPr>
              <w15:appearance w15:val="boundingBox"/>
              <w:id w:val="-2119183839"/>
              <w:placeholder>
                <w:docPart w:val="7e21977b41704090a8e6ef9f9de74bc0"/>
              </w:placeholder>
              <w:rPr/>
            </w:sdtPr>
            <w:sdtContent>
              <w:p>
                <w:pPr>
                  <w:spacing w:line="247" w:lineRule="auto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b/>
                    <w:bCs/>
                    <w:color w:val="000000" w:themeColor="text1"/>
                    <w:sz w:val="24"/>
                    <w:szCs w:val="24"/>
                  </w:rPr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begin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instrText xml:space="preserve"> FORMTEXT </w:instrTex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separate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t xml:space="preserve">ООО «Логистический Парк «Янино»</w:t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  <w:highlight w:val="white"/>
                  </w:rPr>
                  <w:fldChar w:fldCharType="end"/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</w:rPr>
                </w:r>
                <w:r>
                  <w:rPr>
                    <w:b/>
                    <w:bCs/>
                    <w:color w:val="000000" w:themeColor="text1"/>
                    <w:sz w:val="24"/>
                    <w:szCs w:val="24"/>
                  </w:rPr>
                </w:r>
              </w:p>
            </w:sdtContent>
          </w:sdt>
          <w:p>
            <w:pPr>
              <w:spacing w:line="247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  <w:r>
              <w:rPr>
                <w:b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/>
          </w:tcPr>
          <w:p>
            <w:pPr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ПодписантКА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7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М.П.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textDirection w:val="lrTb"/>
            <w:noWrap/>
          </w:tcPr>
          <w:p>
            <w:pPr>
              <w:pStyle w:val="960"/>
              <w:spacing w:after="0" w:afterAutospacing="0" w:line="247" w:lineRule="auto"/>
              <w:shd w:val="clear" w:color="auto" w:fill="ffff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________________ /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begin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instrText xml:space="preserve"> FORMTEXT </w:instrTex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separate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Т.И. Гарифьянов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fldChar w:fldCharType="end"/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/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7" w:lineRule="auto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М.П.</w:t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after="0" w:afterAutospacing="0" w:line="247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sectPr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567" w:bottom="1134" w:left="1134" w:header="720" w:footer="101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rPr>
        <w:rStyle w:val="958"/>
      </w:rPr>
      <w:framePr w:wrap="around" w:vAnchor="text" w:hAnchor="margin" w:xAlign="right" w:y="1"/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separate"/>
    </w:r>
    <w:r>
      <w:rPr>
        <w:rStyle w:val="958"/>
      </w:rPr>
      <w:t xml:space="preserve">1</w:t>
    </w:r>
    <w:r>
      <w:rPr>
        <w:rStyle w:val="958"/>
      </w:rPr>
      <w:fldChar w:fldCharType="end"/>
    </w:r>
    <w:r>
      <w:rPr>
        <w:rStyle w:val="958"/>
      </w:rPr>
    </w:r>
    <w:r>
      <w:rPr>
        <w:rStyle w:val="958"/>
      </w:rPr>
    </w:r>
  </w:p>
  <w:p>
    <w:pPr>
      <w:pStyle w:val="809"/>
      <w:ind w:right="360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39910" cy="27168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018782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39909" cy="2716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.89pt;height:21.3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rPr>
        <w:rStyle w:val="958"/>
      </w:rPr>
      <w:framePr w:wrap="around" w:vAnchor="text" w:hAnchor="margin" w:xAlign="right" w:y="1"/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end"/>
    </w:r>
    <w:r>
      <w:rPr>
        <w:rStyle w:val="958"/>
      </w:rPr>
    </w:r>
    <w:r>
      <w:rPr>
        <w:rStyle w:val="958"/>
      </w:rPr>
    </w:r>
  </w:p>
  <w:p>
    <w:pPr>
      <w:pStyle w:val="80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8" w:hanging="368"/>
        <w:tabs>
          <w:tab w:val="num" w:pos="3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8" w:hanging="368"/>
        <w:tabs>
          <w:tab w:val="num" w:pos="368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368" w:hanging="368"/>
        <w:tabs>
          <w:tab w:val="num" w:pos="36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  <w:tabs>
          <w:tab w:val="num" w:pos="142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  <w:tabs>
          <w:tab w:val="num" w:pos="320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  <w:tabs>
          <w:tab w:val="num" w:pos="7464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5" w:hanging="113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660" w:hanging="4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785"/>
    <w:link w:val="777"/>
    <w:uiPriority w:val="9"/>
    <w:rPr>
      <w:rFonts w:ascii="Arial" w:hAnsi="Arial" w:eastAsia="Arial" w:cs="Arial"/>
      <w:sz w:val="34"/>
    </w:rPr>
  </w:style>
  <w:style w:type="character" w:styleId="761">
    <w:name w:val="Heading 3 Char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65">
    <w:name w:val="Heading 7 Char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8 Char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67">
    <w:name w:val="Heading 9 Char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785"/>
    <w:link w:val="799"/>
    <w:uiPriority w:val="10"/>
    <w:rPr>
      <w:sz w:val="48"/>
      <w:szCs w:val="48"/>
    </w:rPr>
  </w:style>
  <w:style w:type="character" w:styleId="769">
    <w:name w:val="Subtitle Char"/>
    <w:basedOn w:val="785"/>
    <w:link w:val="801"/>
    <w:uiPriority w:val="11"/>
    <w:rPr>
      <w:sz w:val="24"/>
      <w:szCs w:val="24"/>
    </w:rPr>
  </w:style>
  <w:style w:type="character" w:styleId="770">
    <w:name w:val="Quote Char"/>
    <w:link w:val="803"/>
    <w:uiPriority w:val="29"/>
    <w:rPr>
      <w:i/>
    </w:rPr>
  </w:style>
  <w:style w:type="character" w:styleId="771">
    <w:name w:val="Intense Quote Char"/>
    <w:link w:val="805"/>
    <w:uiPriority w:val="30"/>
    <w:rPr>
      <w:i/>
    </w:rPr>
  </w:style>
  <w:style w:type="character" w:styleId="772">
    <w:name w:val="Caption Char"/>
    <w:basedOn w:val="811"/>
    <w:link w:val="809"/>
    <w:uiPriority w:val="99"/>
  </w:style>
  <w:style w:type="character" w:styleId="773">
    <w:name w:val="Footnote Text Char"/>
    <w:link w:val="940"/>
    <w:uiPriority w:val="99"/>
    <w:rPr>
      <w:sz w:val="18"/>
    </w:rPr>
  </w:style>
  <w:style w:type="character" w:styleId="774">
    <w:name w:val="Endnote Text Char"/>
    <w:link w:val="943"/>
    <w:uiPriority w:val="99"/>
    <w:rPr>
      <w:sz w:val="20"/>
    </w:rPr>
  </w:style>
  <w:style w:type="paragraph" w:styleId="775" w:default="1">
    <w:name w:val="Normal"/>
    <w:qFormat/>
  </w:style>
  <w:style w:type="paragraph" w:styleId="776">
    <w:name w:val="Heading 1"/>
    <w:basedOn w:val="775"/>
    <w:next w:val="775"/>
    <w:link w:val="788"/>
    <w:qFormat/>
    <w:pPr>
      <w:ind w:right="-766"/>
      <w:keepNext/>
      <w:outlineLvl w:val="0"/>
    </w:pPr>
    <w:rPr>
      <w:sz w:val="24"/>
    </w:rPr>
  </w:style>
  <w:style w:type="paragraph" w:styleId="777">
    <w:name w:val="Heading 2"/>
    <w:basedOn w:val="775"/>
    <w:next w:val="775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8">
    <w:name w:val="Heading 3"/>
    <w:basedOn w:val="775"/>
    <w:next w:val="775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9">
    <w:name w:val="Heading 4"/>
    <w:basedOn w:val="775"/>
    <w:next w:val="775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775"/>
    <w:next w:val="775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775"/>
    <w:next w:val="77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775"/>
    <w:next w:val="775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775"/>
    <w:next w:val="775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Заголовок 1 Знак"/>
    <w:link w:val="776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link w:val="777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link w:val="778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75"/>
    <w:link w:val="970"/>
    <w:uiPriority w:val="34"/>
    <w:qFormat/>
    <w:pPr>
      <w:contextualSpacing/>
      <w:ind w:left="720"/>
    </w:pPr>
  </w:style>
  <w:style w:type="paragraph" w:styleId="798">
    <w:name w:val="No Spacing"/>
    <w:uiPriority w:val="1"/>
    <w:qFormat/>
    <w:rPr>
      <w:lang w:eastAsia="zh-CN"/>
    </w:rPr>
  </w:style>
  <w:style w:type="paragraph" w:styleId="799">
    <w:name w:val="Title"/>
    <w:basedOn w:val="775"/>
    <w:next w:val="77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link w:val="799"/>
    <w:uiPriority w:val="10"/>
    <w:rPr>
      <w:sz w:val="48"/>
      <w:szCs w:val="48"/>
    </w:rPr>
  </w:style>
  <w:style w:type="paragraph" w:styleId="801">
    <w:name w:val="Subtitle"/>
    <w:basedOn w:val="775"/>
    <w:next w:val="77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75"/>
    <w:next w:val="77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5"/>
    <w:next w:val="77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75"/>
    <w:link w:val="969"/>
    <w:pPr>
      <w:tabs>
        <w:tab w:val="center" w:pos="4677" w:leader="none"/>
        <w:tab w:val="right" w:pos="9355" w:leader="none"/>
      </w:tabs>
    </w:pPr>
  </w:style>
  <w:style w:type="character" w:styleId="808" w:customStyle="1">
    <w:name w:val="Header Char"/>
    <w:uiPriority w:val="99"/>
  </w:style>
  <w:style w:type="paragraph" w:styleId="809">
    <w:name w:val="Footer"/>
    <w:basedOn w:val="775"/>
    <w:link w:val="812"/>
    <w:pPr>
      <w:tabs>
        <w:tab w:val="center" w:pos="4677" w:leader="none"/>
        <w:tab w:val="right" w:pos="9355" w:leader="none"/>
      </w:tabs>
    </w:pPr>
  </w:style>
  <w:style w:type="character" w:styleId="810" w:customStyle="1">
    <w:name w:val="Footer Char"/>
    <w:uiPriority w:val="99"/>
  </w:style>
  <w:style w:type="paragraph" w:styleId="811">
    <w:name w:val="Caption"/>
    <w:basedOn w:val="775"/>
    <w:next w:val="775"/>
    <w:link w:val="7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>
    <w:name w:val="Table Grid"/>
    <w:basedOn w:val="786"/>
    <w:tblPr/>
  </w:style>
  <w:style w:type="table" w:styleId="81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9">
    <w:name w:val="Hyperlink"/>
    <w:uiPriority w:val="99"/>
    <w:rPr>
      <w:color w:val="0000ff"/>
      <w:u w:val="single"/>
    </w:rPr>
  </w:style>
  <w:style w:type="paragraph" w:styleId="940">
    <w:name w:val="footnote text"/>
    <w:basedOn w:val="775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Текст сноски Знак"/>
    <w:link w:val="940"/>
    <w:uiPriority w:val="99"/>
    <w:rPr>
      <w:sz w:val="18"/>
    </w:rPr>
  </w:style>
  <w:style w:type="character" w:styleId="942">
    <w:name w:val="footnote reference"/>
    <w:uiPriority w:val="99"/>
    <w:unhideWhenUsed/>
    <w:rPr>
      <w:vertAlign w:val="superscript"/>
    </w:rPr>
  </w:style>
  <w:style w:type="paragraph" w:styleId="943">
    <w:name w:val="endnote text"/>
    <w:basedOn w:val="775"/>
    <w:link w:val="944"/>
    <w:uiPriority w:val="99"/>
    <w:semiHidden/>
    <w:unhideWhenUsed/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75"/>
    <w:next w:val="775"/>
    <w:uiPriority w:val="39"/>
    <w:unhideWhenUsed/>
    <w:pPr>
      <w:spacing w:after="57"/>
    </w:pPr>
  </w:style>
  <w:style w:type="paragraph" w:styleId="947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48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49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50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51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52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53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54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  <w:rPr>
      <w:lang w:eastAsia="zh-CN"/>
    </w:rPr>
  </w:style>
  <w:style w:type="paragraph" w:styleId="956">
    <w:name w:val="table of figures"/>
    <w:basedOn w:val="775"/>
    <w:next w:val="775"/>
    <w:uiPriority w:val="99"/>
    <w:unhideWhenUsed/>
  </w:style>
  <w:style w:type="paragraph" w:styleId="957">
    <w:name w:val="Balloon Text"/>
    <w:basedOn w:val="775"/>
    <w:semiHidden/>
    <w:rPr>
      <w:rFonts w:ascii="Tahoma" w:hAnsi="Tahoma" w:cs="Tahoma"/>
      <w:sz w:val="16"/>
      <w:szCs w:val="16"/>
    </w:rPr>
  </w:style>
  <w:style w:type="character" w:styleId="958">
    <w:name w:val="page number"/>
    <w:basedOn w:val="785"/>
  </w:style>
  <w:style w:type="paragraph" w:styleId="959">
    <w:name w:val="Body Text Indent"/>
    <w:basedOn w:val="775"/>
    <w:pPr>
      <w:ind w:firstLine="708"/>
      <w:jc w:val="both"/>
    </w:pPr>
    <w:rPr>
      <w:sz w:val="24"/>
      <w:szCs w:val="28"/>
    </w:rPr>
  </w:style>
  <w:style w:type="paragraph" w:styleId="960">
    <w:name w:val="Body Text"/>
    <w:basedOn w:val="775"/>
    <w:pPr>
      <w:spacing w:after="120"/>
    </w:pPr>
  </w:style>
  <w:style w:type="paragraph" w:styleId="961" w:customStyle="1">
    <w:name w:val="Стиль С уважением + Перед:  6 пт"/>
    <w:basedOn w:val="775"/>
    <w:pPr>
      <w:ind w:firstLine="142"/>
      <w:jc w:val="both"/>
      <w:spacing w:before="240"/>
    </w:pPr>
    <w:rPr>
      <w:sz w:val="28"/>
    </w:rPr>
  </w:style>
  <w:style w:type="paragraph" w:styleId="962">
    <w:name w:val="Revision"/>
    <w:hidden/>
    <w:uiPriority w:val="99"/>
    <w:semiHidden/>
  </w:style>
  <w:style w:type="character" w:styleId="963">
    <w:name w:val="annotation reference"/>
    <w:rPr>
      <w:sz w:val="16"/>
      <w:szCs w:val="16"/>
    </w:rPr>
  </w:style>
  <w:style w:type="paragraph" w:styleId="964">
    <w:name w:val="annotation text"/>
    <w:basedOn w:val="775"/>
    <w:link w:val="965"/>
  </w:style>
  <w:style w:type="character" w:styleId="965" w:customStyle="1">
    <w:name w:val="Текст примечания Знак"/>
    <w:basedOn w:val="785"/>
    <w:link w:val="964"/>
  </w:style>
  <w:style w:type="paragraph" w:styleId="966">
    <w:name w:val="annotation subject"/>
    <w:basedOn w:val="964"/>
    <w:next w:val="964"/>
    <w:link w:val="967"/>
    <w:rPr>
      <w:b/>
      <w:bCs/>
    </w:rPr>
  </w:style>
  <w:style w:type="character" w:styleId="967" w:customStyle="1">
    <w:name w:val="Тема примечания Знак"/>
    <w:link w:val="966"/>
    <w:rPr>
      <w:b/>
      <w:bCs/>
    </w:rPr>
  </w:style>
  <w:style w:type="character" w:styleId="968" w:customStyle="1">
    <w:name w:val="cf01"/>
    <w:rPr>
      <w:rFonts w:ascii="Segoe UI" w:hAnsi="Segoe UI" w:cs="Segoe UI"/>
      <w:sz w:val="18"/>
      <w:szCs w:val="18"/>
    </w:rPr>
  </w:style>
  <w:style w:type="character" w:styleId="969" w:customStyle="1">
    <w:name w:val="Верхний колонтитул Знак"/>
    <w:basedOn w:val="785"/>
    <w:link w:val="807"/>
  </w:style>
  <w:style w:type="character" w:styleId="970" w:customStyle="1">
    <w:name w:val="Абзац списка Знак"/>
    <w:link w:val="797"/>
    <w:uiPriority w:val="34"/>
  </w:style>
  <w:style w:type="character" w:styleId="971" w:customStyle="1">
    <w:name w:val="Основной текст_"/>
    <w:link w:val="972"/>
    <w:rPr>
      <w:shd w:val="clear" w:color="auto" w:fill="ffffff"/>
    </w:rPr>
  </w:style>
  <w:style w:type="paragraph" w:styleId="972" w:customStyle="1">
    <w:name w:val="Основной текст1"/>
    <w:basedOn w:val="775"/>
    <w:link w:val="971"/>
    <w:pPr>
      <w:ind w:firstLine="400"/>
      <w:spacing w:line="264" w:lineRule="auto"/>
      <w:shd w:val="clear" w:color="auto" w:fill="ffffff"/>
      <w:widowControl w:val="off"/>
    </w:pPr>
  </w:style>
  <w:style w:type="paragraph" w:styleId="973" w:customStyle="1">
    <w:name w:val="List Number"/>
    <w:basedOn w:val="787"/>
    <w:pPr>
      <w:numPr>
        <w:ilvl w:val="0"/>
        <w:numId w:val="0"/>
      </w:numPr>
      <w:contextualSpacing w:val="0"/>
      <w:ind w:left="0" w:right="0" w:firstLine="567"/>
      <w:jc w:val="both"/>
      <w:keepLines w:val="0"/>
      <w:keepNext w:val="0"/>
      <w:pageBreakBefore w:val="0"/>
      <w:spacing w:before="60" w:beforeAutospacing="0" w:after="0" w:afterAutospacing="0" w:line="36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Обычный (веб)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19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MS Mincho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ja-JP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www.globalport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a549e04a0e141ea88f1982a4f25f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  <w:docPart>
      <w:docPartPr>
        <w:name w:val="7e21977b41704090a8e6ef9f9de74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43" w:default="1">
    <w:name w:val="Normal"/>
    <w:qFormat/>
  </w:style>
  <w:style w:type="character" w:styleId="1444" w:default="1">
    <w:name w:val="Default Paragraph Font"/>
    <w:uiPriority w:val="1"/>
    <w:semiHidden/>
    <w:unhideWhenUsed/>
  </w:style>
  <w:style w:type="numbering" w:styleId="1445" w:default="1">
    <w:name w:val="No List"/>
    <w:uiPriority w:val="99"/>
    <w:semiHidden/>
    <w:unhideWhenUsed/>
  </w:style>
  <w:style w:type="paragraph" w:styleId="1446">
    <w:name w:val="Heading 1"/>
    <w:basedOn w:val="1443"/>
    <w:next w:val="1443"/>
    <w:link w:val="14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47">
    <w:name w:val="Heading 1 Char"/>
    <w:basedOn w:val="1444"/>
    <w:link w:val="1446"/>
    <w:uiPriority w:val="9"/>
    <w:rPr>
      <w:rFonts w:ascii="Arial" w:hAnsi="Arial" w:eastAsia="Arial" w:cs="Arial"/>
      <w:sz w:val="40"/>
      <w:szCs w:val="40"/>
    </w:rPr>
  </w:style>
  <w:style w:type="paragraph" w:styleId="1448">
    <w:name w:val="Heading 2"/>
    <w:basedOn w:val="1443"/>
    <w:next w:val="1443"/>
    <w:link w:val="14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49">
    <w:name w:val="Heading 2 Char"/>
    <w:basedOn w:val="1444"/>
    <w:link w:val="1448"/>
    <w:uiPriority w:val="9"/>
    <w:rPr>
      <w:rFonts w:ascii="Arial" w:hAnsi="Arial" w:eastAsia="Arial" w:cs="Arial"/>
      <w:sz w:val="34"/>
    </w:rPr>
  </w:style>
  <w:style w:type="paragraph" w:styleId="1450">
    <w:name w:val="Heading 3"/>
    <w:basedOn w:val="1443"/>
    <w:next w:val="1443"/>
    <w:link w:val="14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51">
    <w:name w:val="Heading 3 Char"/>
    <w:basedOn w:val="1444"/>
    <w:link w:val="1450"/>
    <w:uiPriority w:val="9"/>
    <w:rPr>
      <w:rFonts w:ascii="Arial" w:hAnsi="Arial" w:eastAsia="Arial" w:cs="Arial"/>
      <w:sz w:val="30"/>
      <w:szCs w:val="30"/>
    </w:rPr>
  </w:style>
  <w:style w:type="paragraph" w:styleId="1452">
    <w:name w:val="Heading 4"/>
    <w:basedOn w:val="1443"/>
    <w:next w:val="1443"/>
    <w:link w:val="14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53">
    <w:name w:val="Heading 4 Char"/>
    <w:basedOn w:val="1444"/>
    <w:link w:val="1452"/>
    <w:uiPriority w:val="9"/>
    <w:rPr>
      <w:rFonts w:ascii="Arial" w:hAnsi="Arial" w:eastAsia="Arial" w:cs="Arial"/>
      <w:b/>
      <w:bCs/>
      <w:sz w:val="26"/>
      <w:szCs w:val="26"/>
    </w:rPr>
  </w:style>
  <w:style w:type="paragraph" w:styleId="1454">
    <w:name w:val="Heading 5"/>
    <w:basedOn w:val="1443"/>
    <w:next w:val="1443"/>
    <w:link w:val="14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55">
    <w:name w:val="Heading 5 Char"/>
    <w:basedOn w:val="1444"/>
    <w:link w:val="1454"/>
    <w:uiPriority w:val="9"/>
    <w:rPr>
      <w:rFonts w:ascii="Arial" w:hAnsi="Arial" w:eastAsia="Arial" w:cs="Arial"/>
      <w:b/>
      <w:bCs/>
      <w:sz w:val="24"/>
      <w:szCs w:val="24"/>
    </w:rPr>
  </w:style>
  <w:style w:type="paragraph" w:styleId="1456">
    <w:name w:val="Heading 6"/>
    <w:basedOn w:val="1443"/>
    <w:next w:val="1443"/>
    <w:link w:val="14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57">
    <w:name w:val="Heading 6 Char"/>
    <w:basedOn w:val="1444"/>
    <w:link w:val="1456"/>
    <w:uiPriority w:val="9"/>
    <w:rPr>
      <w:rFonts w:ascii="Arial" w:hAnsi="Arial" w:eastAsia="Arial" w:cs="Arial"/>
      <w:b/>
      <w:bCs/>
      <w:sz w:val="22"/>
      <w:szCs w:val="22"/>
    </w:rPr>
  </w:style>
  <w:style w:type="paragraph" w:styleId="1458">
    <w:name w:val="Heading 7"/>
    <w:basedOn w:val="1443"/>
    <w:next w:val="1443"/>
    <w:link w:val="14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59">
    <w:name w:val="Heading 7 Char"/>
    <w:basedOn w:val="1444"/>
    <w:link w:val="14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60">
    <w:name w:val="Heading 8"/>
    <w:basedOn w:val="1443"/>
    <w:next w:val="1443"/>
    <w:link w:val="14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61">
    <w:name w:val="Heading 8 Char"/>
    <w:basedOn w:val="1444"/>
    <w:link w:val="1460"/>
    <w:uiPriority w:val="9"/>
    <w:rPr>
      <w:rFonts w:ascii="Arial" w:hAnsi="Arial" w:eastAsia="Arial" w:cs="Arial"/>
      <w:i/>
      <w:iCs/>
      <w:sz w:val="22"/>
      <w:szCs w:val="22"/>
    </w:rPr>
  </w:style>
  <w:style w:type="paragraph" w:styleId="1462">
    <w:name w:val="Heading 9"/>
    <w:basedOn w:val="1443"/>
    <w:next w:val="1443"/>
    <w:link w:val="14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63">
    <w:name w:val="Heading 9 Char"/>
    <w:basedOn w:val="1444"/>
    <w:link w:val="1462"/>
    <w:uiPriority w:val="9"/>
    <w:rPr>
      <w:rFonts w:ascii="Arial" w:hAnsi="Arial" w:eastAsia="Arial" w:cs="Arial"/>
      <w:i/>
      <w:iCs/>
      <w:sz w:val="21"/>
      <w:szCs w:val="21"/>
    </w:rPr>
  </w:style>
  <w:style w:type="paragraph" w:styleId="1464">
    <w:name w:val="List Paragraph"/>
    <w:basedOn w:val="1443"/>
    <w:uiPriority w:val="34"/>
    <w:qFormat/>
    <w:pPr>
      <w:contextualSpacing/>
      <w:ind w:left="720"/>
    </w:pPr>
  </w:style>
  <w:style w:type="table" w:styleId="14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66">
    <w:name w:val="No Spacing"/>
    <w:uiPriority w:val="1"/>
    <w:qFormat/>
    <w:pPr>
      <w:spacing w:before="0" w:after="0" w:line="240" w:lineRule="auto"/>
    </w:pPr>
  </w:style>
  <w:style w:type="paragraph" w:styleId="1467">
    <w:name w:val="Title"/>
    <w:basedOn w:val="1443"/>
    <w:next w:val="1443"/>
    <w:link w:val="14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68">
    <w:name w:val="Title Char"/>
    <w:basedOn w:val="1444"/>
    <w:link w:val="1467"/>
    <w:uiPriority w:val="10"/>
    <w:rPr>
      <w:sz w:val="48"/>
      <w:szCs w:val="48"/>
    </w:rPr>
  </w:style>
  <w:style w:type="paragraph" w:styleId="1469">
    <w:name w:val="Subtitle"/>
    <w:basedOn w:val="1443"/>
    <w:next w:val="1443"/>
    <w:link w:val="1470"/>
    <w:uiPriority w:val="11"/>
    <w:qFormat/>
    <w:pPr>
      <w:spacing w:before="200" w:after="200"/>
    </w:pPr>
    <w:rPr>
      <w:sz w:val="24"/>
      <w:szCs w:val="24"/>
    </w:rPr>
  </w:style>
  <w:style w:type="character" w:styleId="1470">
    <w:name w:val="Subtitle Char"/>
    <w:basedOn w:val="1444"/>
    <w:link w:val="1469"/>
    <w:uiPriority w:val="11"/>
    <w:rPr>
      <w:sz w:val="24"/>
      <w:szCs w:val="24"/>
    </w:rPr>
  </w:style>
  <w:style w:type="paragraph" w:styleId="1471">
    <w:name w:val="Quote"/>
    <w:basedOn w:val="1443"/>
    <w:next w:val="1443"/>
    <w:link w:val="1472"/>
    <w:uiPriority w:val="29"/>
    <w:qFormat/>
    <w:pPr>
      <w:ind w:left="720" w:right="720"/>
    </w:pPr>
    <w:rPr>
      <w:i/>
    </w:rPr>
  </w:style>
  <w:style w:type="character" w:styleId="1472">
    <w:name w:val="Quote Char"/>
    <w:link w:val="1471"/>
    <w:uiPriority w:val="29"/>
    <w:rPr>
      <w:i/>
    </w:rPr>
  </w:style>
  <w:style w:type="paragraph" w:styleId="1473">
    <w:name w:val="Intense Quote"/>
    <w:basedOn w:val="1443"/>
    <w:next w:val="1443"/>
    <w:link w:val="14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74">
    <w:name w:val="Intense Quote Char"/>
    <w:link w:val="1473"/>
    <w:uiPriority w:val="30"/>
    <w:rPr>
      <w:i/>
    </w:rPr>
  </w:style>
  <w:style w:type="paragraph" w:styleId="1475">
    <w:name w:val="Header"/>
    <w:basedOn w:val="1443"/>
    <w:link w:val="14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6">
    <w:name w:val="Header Char"/>
    <w:basedOn w:val="1444"/>
    <w:link w:val="1475"/>
    <w:uiPriority w:val="99"/>
  </w:style>
  <w:style w:type="paragraph" w:styleId="1477">
    <w:name w:val="Footer"/>
    <w:basedOn w:val="1443"/>
    <w:link w:val="14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78">
    <w:name w:val="Footer Char"/>
    <w:basedOn w:val="1444"/>
    <w:link w:val="1477"/>
    <w:uiPriority w:val="99"/>
  </w:style>
  <w:style w:type="paragraph" w:styleId="1479">
    <w:name w:val="Caption"/>
    <w:basedOn w:val="1443"/>
    <w:next w:val="1443"/>
    <w:link w:val="14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80">
    <w:name w:val="Caption Char"/>
    <w:basedOn w:val="1479"/>
    <w:link w:val="1477"/>
    <w:uiPriority w:val="99"/>
  </w:style>
  <w:style w:type="table" w:styleId="1481">
    <w:name w:val="Table Grid"/>
    <w:basedOn w:val="14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2">
    <w:name w:val="Table Grid Light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83">
    <w:name w:val="Plain Table 1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4">
    <w:name w:val="Plain Table 2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85">
    <w:name w:val="Plain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86">
    <w:name w:val="Plain Table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Plain Table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88">
    <w:name w:val="Grid Table 1 Light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Grid Table 1 Light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Grid Table 1 Light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Grid Table 1 Light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Grid Table 1 Light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Grid Table 1 Light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Grid Table 1 Light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Grid Table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Grid Table 2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Grid Table 2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Grid Table 2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2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2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2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3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Grid Table 3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Grid Table 3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Grid Table 3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Grid Table 3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Grid Table 3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Grid Table 4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10">
    <w:name w:val="Grid Table 4 - Accent 1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11">
    <w:name w:val="Grid Table 4 - Accent 2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12">
    <w:name w:val="Grid Table 4 - Accent 3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13">
    <w:name w:val="Grid Table 4 - Accent 4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4">
    <w:name w:val="Grid Table 4 - Accent 5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15">
    <w:name w:val="Grid Table 4 - Accent 6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16">
    <w:name w:val="Grid Table 5 Dark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17">
    <w:name w:val="Grid Table 5 Dark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18">
    <w:name w:val="Grid Table 5 Dark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19">
    <w:name w:val="Grid Table 5 Dark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20">
    <w:name w:val="Grid Table 5 Dark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21">
    <w:name w:val="Grid Table 5 Dark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22">
    <w:name w:val="Grid Table 5 Dark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23">
    <w:name w:val="Grid Table 6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24">
    <w:name w:val="Grid Table 6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25">
    <w:name w:val="Grid Table 6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26">
    <w:name w:val="Grid Table 6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27">
    <w:name w:val="Grid Table 6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28">
    <w:name w:val="Grid Table 6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29">
    <w:name w:val="Grid Table 6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30">
    <w:name w:val="Grid Table 7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>
    <w:name w:val="Grid Table 7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Grid Table 7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Grid Table 7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>
    <w:name w:val="Grid Table 7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>
    <w:name w:val="Grid Table 7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>
    <w:name w:val="Grid Table 7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>
    <w:name w:val="List Table 1 Light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>
    <w:name w:val="List Table 1 Light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List Table 1 Light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>
    <w:name w:val="List Table 1 Light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>
    <w:name w:val="List Table 1 Light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>
    <w:name w:val="List Table 1 Light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>
    <w:name w:val="List Table 1 Light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>
    <w:name w:val="List Table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45">
    <w:name w:val="List Table 2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46">
    <w:name w:val="List Table 2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47">
    <w:name w:val="List Table 2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48">
    <w:name w:val="List Table 2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49">
    <w:name w:val="List Table 2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50">
    <w:name w:val="List Table 2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51">
    <w:name w:val="List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2">
    <w:name w:val="List Table 3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3">
    <w:name w:val="List Table 3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4">
    <w:name w:val="List Table 3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5">
    <w:name w:val="List Table 3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6">
    <w:name w:val="List Table 3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7">
    <w:name w:val="List Table 3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8">
    <w:name w:val="List Table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9">
    <w:name w:val="List Table 4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0">
    <w:name w:val="List Table 4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1">
    <w:name w:val="List Table 4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2">
    <w:name w:val="List Table 4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3">
    <w:name w:val="List Table 4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4">
    <w:name w:val="List Table 4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65">
    <w:name w:val="List Table 5 Dark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6">
    <w:name w:val="List Table 5 Dark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7">
    <w:name w:val="List Table 5 Dark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8">
    <w:name w:val="List Table 5 Dark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69">
    <w:name w:val="List Table 5 Dark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0">
    <w:name w:val="List Table 5 Dark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1">
    <w:name w:val="List Table 5 Dark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72">
    <w:name w:val="List Table 6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73">
    <w:name w:val="List Table 6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74">
    <w:name w:val="List Table 6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75">
    <w:name w:val="List Table 6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76">
    <w:name w:val="List Table 6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77">
    <w:name w:val="List Table 6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78">
    <w:name w:val="List Table 6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79">
    <w:name w:val="List Table 7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80">
    <w:name w:val="List Table 7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81">
    <w:name w:val="List Table 7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82">
    <w:name w:val="List Table 7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83">
    <w:name w:val="List Table 7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84">
    <w:name w:val="List Table 7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85">
    <w:name w:val="List Table 7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86">
    <w:name w:val="Lined - Accent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87">
    <w:name w:val="Lined - Accent 1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88">
    <w:name w:val="Lined - Accent 2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89">
    <w:name w:val="Lined - Accent 3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90">
    <w:name w:val="Lined - Accent 4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1">
    <w:name w:val="Lined - Accent 5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2">
    <w:name w:val="Lined - Accent 6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3">
    <w:name w:val="Bordered &amp; Lined - Accent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4">
    <w:name w:val="Bordered &amp; Lined - Accent 1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95">
    <w:name w:val="Bordered &amp; Lined - Accent 2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96">
    <w:name w:val="Bordered &amp; Lined - Accent 3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97">
    <w:name w:val="Bordered &amp; Lined - Accent 4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8">
    <w:name w:val="Bordered &amp; Lined - Accent 5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9">
    <w:name w:val="Bordered &amp; Lined - Accent 6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0">
    <w:name w:val="Bordered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01">
    <w:name w:val="Bordered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02">
    <w:name w:val="Bordered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03">
    <w:name w:val="Bordered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04">
    <w:name w:val="Bordered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05">
    <w:name w:val="Bordered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06">
    <w:name w:val="Bordered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607">
    <w:name w:val="Hyperlink"/>
    <w:uiPriority w:val="99"/>
    <w:unhideWhenUsed/>
    <w:rPr>
      <w:color w:val="0000ff" w:themeColor="hyperlink"/>
      <w:u w:val="single"/>
    </w:rPr>
  </w:style>
  <w:style w:type="paragraph" w:styleId="1608">
    <w:name w:val="footnote text"/>
    <w:basedOn w:val="1443"/>
    <w:link w:val="1609"/>
    <w:uiPriority w:val="99"/>
    <w:semiHidden/>
    <w:unhideWhenUsed/>
    <w:pPr>
      <w:spacing w:after="40" w:line="240" w:lineRule="auto"/>
    </w:pPr>
    <w:rPr>
      <w:sz w:val="18"/>
    </w:rPr>
  </w:style>
  <w:style w:type="character" w:styleId="1609">
    <w:name w:val="Footnote Text Char"/>
    <w:link w:val="1608"/>
    <w:uiPriority w:val="99"/>
    <w:rPr>
      <w:sz w:val="18"/>
    </w:rPr>
  </w:style>
  <w:style w:type="character" w:styleId="1610">
    <w:name w:val="footnote reference"/>
    <w:basedOn w:val="1444"/>
    <w:uiPriority w:val="99"/>
    <w:unhideWhenUsed/>
    <w:rPr>
      <w:vertAlign w:val="superscript"/>
    </w:rPr>
  </w:style>
  <w:style w:type="paragraph" w:styleId="1611">
    <w:name w:val="endnote text"/>
    <w:basedOn w:val="1443"/>
    <w:link w:val="1612"/>
    <w:uiPriority w:val="99"/>
    <w:semiHidden/>
    <w:unhideWhenUsed/>
    <w:pPr>
      <w:spacing w:after="0" w:line="240" w:lineRule="auto"/>
    </w:pPr>
    <w:rPr>
      <w:sz w:val="20"/>
    </w:rPr>
  </w:style>
  <w:style w:type="character" w:styleId="1612">
    <w:name w:val="Endnote Text Char"/>
    <w:link w:val="1611"/>
    <w:uiPriority w:val="99"/>
    <w:rPr>
      <w:sz w:val="20"/>
    </w:rPr>
  </w:style>
  <w:style w:type="character" w:styleId="1613">
    <w:name w:val="endnote reference"/>
    <w:basedOn w:val="1444"/>
    <w:uiPriority w:val="99"/>
    <w:semiHidden/>
    <w:unhideWhenUsed/>
    <w:rPr>
      <w:vertAlign w:val="superscript"/>
    </w:rPr>
  </w:style>
  <w:style w:type="paragraph" w:styleId="1614">
    <w:name w:val="toc 1"/>
    <w:basedOn w:val="1443"/>
    <w:next w:val="1443"/>
    <w:uiPriority w:val="39"/>
    <w:unhideWhenUsed/>
    <w:pPr>
      <w:ind w:left="0" w:right="0" w:firstLine="0"/>
      <w:spacing w:after="57"/>
    </w:pPr>
  </w:style>
  <w:style w:type="paragraph" w:styleId="1615">
    <w:name w:val="toc 2"/>
    <w:basedOn w:val="1443"/>
    <w:next w:val="1443"/>
    <w:uiPriority w:val="39"/>
    <w:unhideWhenUsed/>
    <w:pPr>
      <w:ind w:left="283" w:right="0" w:firstLine="0"/>
      <w:spacing w:after="57"/>
    </w:pPr>
  </w:style>
  <w:style w:type="paragraph" w:styleId="1616">
    <w:name w:val="toc 3"/>
    <w:basedOn w:val="1443"/>
    <w:next w:val="1443"/>
    <w:uiPriority w:val="39"/>
    <w:unhideWhenUsed/>
    <w:pPr>
      <w:ind w:left="567" w:right="0" w:firstLine="0"/>
      <w:spacing w:after="57"/>
    </w:pPr>
  </w:style>
  <w:style w:type="paragraph" w:styleId="1617">
    <w:name w:val="toc 4"/>
    <w:basedOn w:val="1443"/>
    <w:next w:val="1443"/>
    <w:uiPriority w:val="39"/>
    <w:unhideWhenUsed/>
    <w:pPr>
      <w:ind w:left="850" w:right="0" w:firstLine="0"/>
      <w:spacing w:after="57"/>
    </w:pPr>
  </w:style>
  <w:style w:type="paragraph" w:styleId="1618">
    <w:name w:val="toc 5"/>
    <w:basedOn w:val="1443"/>
    <w:next w:val="1443"/>
    <w:uiPriority w:val="39"/>
    <w:unhideWhenUsed/>
    <w:pPr>
      <w:ind w:left="1134" w:right="0" w:firstLine="0"/>
      <w:spacing w:after="57"/>
    </w:pPr>
  </w:style>
  <w:style w:type="paragraph" w:styleId="1619">
    <w:name w:val="toc 6"/>
    <w:basedOn w:val="1443"/>
    <w:next w:val="1443"/>
    <w:uiPriority w:val="39"/>
    <w:unhideWhenUsed/>
    <w:pPr>
      <w:ind w:left="1417" w:right="0" w:firstLine="0"/>
      <w:spacing w:after="57"/>
    </w:pPr>
  </w:style>
  <w:style w:type="paragraph" w:styleId="1620">
    <w:name w:val="toc 7"/>
    <w:basedOn w:val="1443"/>
    <w:next w:val="1443"/>
    <w:uiPriority w:val="39"/>
    <w:unhideWhenUsed/>
    <w:pPr>
      <w:ind w:left="1701" w:right="0" w:firstLine="0"/>
      <w:spacing w:after="57"/>
    </w:pPr>
  </w:style>
  <w:style w:type="paragraph" w:styleId="1621">
    <w:name w:val="toc 8"/>
    <w:basedOn w:val="1443"/>
    <w:next w:val="1443"/>
    <w:uiPriority w:val="39"/>
    <w:unhideWhenUsed/>
    <w:pPr>
      <w:ind w:left="1984" w:right="0" w:firstLine="0"/>
      <w:spacing w:after="57"/>
    </w:pPr>
  </w:style>
  <w:style w:type="paragraph" w:styleId="1622">
    <w:name w:val="toc 9"/>
    <w:basedOn w:val="1443"/>
    <w:next w:val="1443"/>
    <w:uiPriority w:val="39"/>
    <w:unhideWhenUsed/>
    <w:pPr>
      <w:ind w:left="2268" w:right="0" w:firstLine="0"/>
      <w:spacing w:after="57"/>
    </w:pPr>
  </w:style>
  <w:style w:type="paragraph" w:styleId="1623">
    <w:name w:val="TOC Heading"/>
    <w:uiPriority w:val="39"/>
    <w:unhideWhenUsed/>
  </w:style>
  <w:style w:type="paragraph" w:styleId="1624">
    <w:name w:val="table of figures"/>
    <w:basedOn w:val="1443"/>
    <w:next w:val="1443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Transmissia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ПОСТАВКУ</dc:title>
  <dc:creator>User</dc:creator>
  <cp:lastModifiedBy>krikunov_a</cp:lastModifiedBy>
  <cp:revision>24</cp:revision>
  <dcterms:created xsi:type="dcterms:W3CDTF">2024-02-27T12:41:00Z</dcterms:created>
  <dcterms:modified xsi:type="dcterms:W3CDTF">2025-09-17T07:11:03Z</dcterms:modified>
  <cp:version>1048576</cp:version>
</cp:coreProperties>
</file>