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102"/>
      </w:tblGrid>
      <w:tr w:rsidR="00E630B4" w:rsidRPr="00D23DE1" w14:paraId="4BAA9B59" w14:textId="77777777" w:rsidTr="00EC1BF6">
        <w:trPr>
          <w:trHeight w:val="906"/>
        </w:trPr>
        <w:tc>
          <w:tcPr>
            <w:tcW w:w="5387" w:type="dxa"/>
            <w:shd w:val="clear" w:color="auto" w:fill="auto"/>
          </w:tcPr>
          <w:p w14:paraId="19AF03DF" w14:textId="77777777" w:rsidR="00E630B4" w:rsidRDefault="00E630B4" w:rsidP="00EC1BF6">
            <w:pPr>
              <w:pStyle w:val="aa"/>
              <w:spacing w:after="240"/>
              <w:ind w:left="-105"/>
            </w:pPr>
            <w:r>
              <w:rPr>
                <w:noProof/>
              </w:rPr>
              <w:drawing>
                <wp:inline distT="0" distB="0" distL="0" distR="0" wp14:anchorId="6B167E92" wp14:editId="59028DB1">
                  <wp:extent cx="2919412" cy="4044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919412" cy="40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shd w:val="clear" w:color="auto" w:fill="auto"/>
          </w:tcPr>
          <w:p w14:paraId="6A342F31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ООО «МЗТО»</w:t>
            </w:r>
          </w:p>
          <w:p w14:paraId="6F0358F1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Адрес производства: Москва, ул. 1-ая Мытищинская д. 27, стр. 1</w:t>
            </w:r>
          </w:p>
          <w:p w14:paraId="6E781633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Юридический адрес:</w:t>
            </w:r>
            <w:r>
              <w:rPr>
                <w:sz w:val="18"/>
              </w:rPr>
              <w:t>53000, г. Иваново ул. Пушкина, д. 5, оф. 5</w:t>
            </w:r>
          </w:p>
          <w:p w14:paraId="0FF89E16" w14:textId="77777777" w:rsidR="00E630B4" w:rsidRDefault="00E630B4" w:rsidP="00EC1BF6">
            <w:pPr>
              <w:pStyle w:val="af9"/>
              <w:rPr>
                <w:sz w:val="18"/>
              </w:rPr>
            </w:pPr>
            <w:r>
              <w:rPr>
                <w:sz w:val="18"/>
              </w:rPr>
              <w:t>ИНН/КПП 3702700947/370201001</w:t>
            </w:r>
          </w:p>
          <w:p w14:paraId="4FD579B3" w14:textId="77777777" w:rsidR="00E630B4" w:rsidRPr="00B431DA" w:rsidRDefault="00E630B4" w:rsidP="00EC1BF6">
            <w:pPr>
              <w:pStyle w:val="af9"/>
              <w:rPr>
                <w:rFonts w:ascii="Roboto Condensed" w:hAnsi="Roboto Condensed"/>
                <w:sz w:val="18"/>
                <w:lang w:val="en-US"/>
              </w:rPr>
            </w:pPr>
            <w:r>
              <w:rPr>
                <w:sz w:val="18"/>
              </w:rPr>
              <w:t>Тел</w:t>
            </w:r>
            <w:r w:rsidRPr="00B431DA">
              <w:rPr>
                <w:sz w:val="18"/>
                <w:lang w:val="en-US"/>
              </w:rPr>
              <w:t>. (</w:t>
            </w:r>
            <w:r w:rsidRPr="00554DA1">
              <w:rPr>
                <w:sz w:val="18"/>
                <w:lang w:val="en-US"/>
              </w:rPr>
              <w:t>903)105-19-99</w:t>
            </w:r>
            <w:r w:rsidRPr="00B431DA">
              <w:rPr>
                <w:sz w:val="18"/>
                <w:lang w:val="en-US"/>
              </w:rPr>
              <w:t xml:space="preserve">; E-mail: Info@mwto.ru </w:t>
            </w:r>
          </w:p>
        </w:tc>
      </w:tr>
    </w:tbl>
    <w:p w14:paraId="0CC61EC8" w14:textId="77777777" w:rsidR="00187070" w:rsidRPr="00E630B4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</w:p>
    <w:p w14:paraId="2797876C" w14:textId="77777777" w:rsidR="0019630C" w:rsidRPr="00E630B4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</w:p>
    <w:p w14:paraId="7B32FD82" w14:textId="77777777" w:rsidR="00187070" w:rsidRPr="00E630B4" w:rsidRDefault="00187070" w:rsidP="00187070">
      <w:pPr>
        <w:spacing w:after="0" w:line="240" w:lineRule="auto"/>
        <w:jc w:val="center"/>
        <w:rPr>
          <w:rFonts w:ascii="Tahoma" w:hAnsi="Tahoma" w:cs="Tahoma"/>
          <w:iCs/>
          <w:lang w:val="en-US"/>
        </w:rPr>
      </w:pPr>
    </w:p>
    <w:p w14:paraId="22F9A5C5" w14:textId="77777777" w:rsidR="00E630B4" w:rsidRDefault="0019061A" w:rsidP="00BB0093">
      <w:pPr>
        <w:jc w:val="center"/>
        <w:rPr>
          <w:rFonts w:ascii="Tahoma" w:hAnsi="Tahoma" w:cs="Tahoma"/>
          <w:b/>
          <w:bCs/>
        </w:rPr>
      </w:pPr>
      <w:r w:rsidRPr="0019061A">
        <w:rPr>
          <w:rFonts w:ascii="Tahoma" w:hAnsi="Tahoma" w:cs="Tahoma"/>
          <w:b/>
          <w:bCs/>
        </w:rPr>
        <w:t xml:space="preserve">Извещение о проведении Запроса </w:t>
      </w:r>
      <w:r w:rsidR="00E630B4">
        <w:rPr>
          <w:rFonts w:ascii="Tahoma" w:hAnsi="Tahoma" w:cs="Tahoma"/>
          <w:b/>
          <w:bCs/>
        </w:rPr>
        <w:t>предложений</w:t>
      </w:r>
      <w:r w:rsidRPr="0019061A">
        <w:rPr>
          <w:rFonts w:ascii="Tahoma" w:hAnsi="Tahoma" w:cs="Tahoma"/>
          <w:b/>
          <w:bCs/>
        </w:rPr>
        <w:t xml:space="preserve"> </w:t>
      </w:r>
      <w:r w:rsidR="00961F82" w:rsidRPr="00961F82">
        <w:rPr>
          <w:rFonts w:ascii="Tahoma" w:hAnsi="Tahoma" w:cs="Tahoma"/>
          <w:b/>
          <w:bCs/>
        </w:rPr>
        <w:t>на</w:t>
      </w:r>
    </w:p>
    <w:p w14:paraId="1EABAE4A" w14:textId="6D194BB6" w:rsidR="00E630B4" w:rsidRDefault="00961F82" w:rsidP="00BB0093">
      <w:pPr>
        <w:jc w:val="center"/>
        <w:rPr>
          <w:rFonts w:ascii="Tahoma" w:hAnsi="Tahoma" w:cs="Tahoma"/>
          <w:b/>
          <w:iCs/>
        </w:rPr>
      </w:pPr>
      <w:r w:rsidRPr="00961F82">
        <w:rPr>
          <w:rFonts w:ascii="Tahoma" w:hAnsi="Tahoma" w:cs="Tahoma"/>
          <w:b/>
          <w:bCs/>
        </w:rPr>
        <w:t xml:space="preserve"> </w:t>
      </w:r>
      <w:r w:rsidR="00D23DE1">
        <w:rPr>
          <w:rFonts w:ascii="Tahoma" w:hAnsi="Tahoma" w:cs="Tahoma"/>
          <w:b/>
          <w:bCs/>
          <w:i/>
          <w:iCs/>
        </w:rPr>
        <w:t>Поставку оборудования и инструмента для электромонтажного участка</w:t>
      </w:r>
    </w:p>
    <w:p w14:paraId="6E345986" w14:textId="5E5930A2" w:rsidR="005965CC" w:rsidRPr="00F124B2" w:rsidRDefault="005965CC" w:rsidP="00BB0093">
      <w:pPr>
        <w:jc w:val="center"/>
        <w:rPr>
          <w:rFonts w:ascii="Tahoma" w:hAnsi="Tahoma" w:cs="Tahoma"/>
          <w:iCs/>
        </w:rPr>
      </w:pPr>
      <w:r w:rsidRPr="00D52CEA">
        <w:rPr>
          <w:rFonts w:ascii="Tahoma" w:hAnsi="Tahoma" w:cs="Tahoma"/>
          <w:b/>
          <w:iCs/>
        </w:rPr>
        <w:t xml:space="preserve">для нужд </w:t>
      </w:r>
      <w:r w:rsidR="00E630B4">
        <w:rPr>
          <w:rFonts w:ascii="Tahoma" w:hAnsi="Tahoma" w:cs="Tahoma"/>
          <w:b/>
          <w:iCs/>
        </w:rPr>
        <w:t>ООО «МЗТО»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14:paraId="7199A10F" w14:textId="77777777" w:rsidTr="00B84777">
        <w:trPr>
          <w:trHeight w:val="730"/>
        </w:trPr>
        <w:tc>
          <w:tcPr>
            <w:tcW w:w="1966" w:type="pct"/>
            <w:vAlign w:val="center"/>
          </w:tcPr>
          <w:p w14:paraId="695B647C" w14:textId="77777777"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14:paraId="722ADE28" w14:textId="4FE3CEC2"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 xml:space="preserve">Запрос </w:t>
            </w:r>
            <w:r w:rsidR="00E630B4">
              <w:rPr>
                <w:rFonts w:ascii="Tahoma" w:hAnsi="Tahoma" w:cs="Tahoma"/>
                <w:b/>
                <w:iCs/>
              </w:rPr>
              <w:t>предложений</w:t>
            </w:r>
          </w:p>
        </w:tc>
      </w:tr>
      <w:tr w:rsidR="00CA6947" w:rsidRPr="00767B15" w14:paraId="68C8ACFC" w14:textId="77777777" w:rsidTr="00B84777">
        <w:trPr>
          <w:trHeight w:val="253"/>
        </w:trPr>
        <w:tc>
          <w:tcPr>
            <w:tcW w:w="1966" w:type="pct"/>
          </w:tcPr>
          <w:p w14:paraId="2DC4B875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14:paraId="6EE52BA8" w14:textId="6795E35A" w:rsidR="00CA6947" w:rsidRPr="00767B15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ООО «МЗТО»</w:t>
            </w:r>
          </w:p>
        </w:tc>
      </w:tr>
      <w:tr w:rsidR="00CA6947" w:rsidRPr="00767B15" w14:paraId="645A4826" w14:textId="77777777" w:rsidTr="00B84777">
        <w:trPr>
          <w:trHeight w:val="400"/>
        </w:trPr>
        <w:tc>
          <w:tcPr>
            <w:tcW w:w="1966" w:type="pct"/>
          </w:tcPr>
          <w:p w14:paraId="75A1418B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14:paraId="1E0B594E" w14:textId="77777777" w:rsidR="00CA6947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Юридический адрес: </w:t>
            </w:r>
            <w:r w:rsidRPr="00E630B4">
              <w:rPr>
                <w:rFonts w:ascii="Tahoma" w:hAnsi="Tahoma" w:cs="Tahoma"/>
                <w:iCs/>
              </w:rPr>
              <w:t>153000, г. Иваново ул. Пушкина, д. 5, оф. 5</w:t>
            </w:r>
          </w:p>
          <w:p w14:paraId="465C7751" w14:textId="16779CD8" w:rsidR="00E630B4" w:rsidRPr="00767B15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Адрес производства: 129626, </w:t>
            </w:r>
            <w:r w:rsidRPr="00E630B4">
              <w:rPr>
                <w:rFonts w:ascii="Tahoma" w:hAnsi="Tahoma" w:cs="Tahoma"/>
                <w:iCs/>
              </w:rPr>
              <w:t>г. Москва, ул. 1-ая Мытищинская д. 27, стр. 1</w:t>
            </w:r>
          </w:p>
        </w:tc>
      </w:tr>
      <w:tr w:rsidR="00183EBE" w:rsidRPr="00767B15" w14:paraId="6B61CE03" w14:textId="77777777" w:rsidTr="00B84777">
        <w:trPr>
          <w:trHeight w:val="487"/>
        </w:trPr>
        <w:tc>
          <w:tcPr>
            <w:tcW w:w="1966" w:type="pct"/>
          </w:tcPr>
          <w:p w14:paraId="768EBEF4" w14:textId="77777777"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14:paraId="699A02BD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Номер контактного телефона: </w:t>
            </w:r>
            <w:r>
              <w:rPr>
                <w:rFonts w:ascii="Tahoma" w:hAnsi="Tahoma" w:cs="Tahoma"/>
                <w:iCs/>
              </w:rPr>
              <w:t>8-962-922-32-19.</w:t>
            </w:r>
            <w:r w:rsidRPr="00890215">
              <w:rPr>
                <w:rFonts w:ascii="Tahoma" w:hAnsi="Tahoma" w:cs="Tahoma"/>
                <w:iCs/>
              </w:rPr>
              <w:t xml:space="preserve"> </w:t>
            </w:r>
          </w:p>
          <w:p w14:paraId="546809B7" w14:textId="77777777" w:rsidR="00D23DE1" w:rsidRPr="00FC5427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Контактное лицо: </w:t>
            </w:r>
            <w:r>
              <w:rPr>
                <w:rFonts w:ascii="Tahoma" w:hAnsi="Tahoma" w:cs="Tahoma"/>
                <w:i/>
                <w:color w:val="000000" w:themeColor="text1"/>
              </w:rPr>
              <w:t>Завьялова Анна Владимировна</w:t>
            </w:r>
          </w:p>
          <w:p w14:paraId="6254D44F" w14:textId="36499164" w:rsidR="00183EBE" w:rsidRPr="00767B15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6921B6">
                <w:rPr>
                  <w:rStyle w:val="a8"/>
                </w:rPr>
                <w:t>azavyalova@mwto.ru</w:t>
              </w:r>
              <w:r>
                <w:rPr>
                  <w:rStyle w:val="a8"/>
                </w:rPr>
                <w:t>_</w:t>
              </w:r>
            </w:hyperlink>
          </w:p>
        </w:tc>
      </w:tr>
      <w:tr w:rsidR="00ED0D54" w:rsidRPr="00767B15" w14:paraId="6B3FD6FA" w14:textId="77777777" w:rsidTr="006E526D">
        <w:trPr>
          <w:trHeight w:val="567"/>
        </w:trPr>
        <w:tc>
          <w:tcPr>
            <w:tcW w:w="1966" w:type="pct"/>
          </w:tcPr>
          <w:p w14:paraId="222937D6" w14:textId="77777777"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14:paraId="224FD234" w14:textId="112C09A8" w:rsidR="00ED0D54" w:rsidRPr="00E630B4" w:rsidRDefault="00D23DE1" w:rsidP="003A5E48">
            <w:pPr>
              <w:jc w:val="both"/>
              <w:rPr>
                <w:rFonts w:ascii="Tahoma" w:hAnsi="Tahoma" w:cs="Tahoma"/>
                <w:i/>
                <w:iCs/>
              </w:rPr>
            </w:pPr>
            <w:r w:rsidRPr="00D23DE1">
              <w:rPr>
                <w:rFonts w:ascii="Tahoma" w:hAnsi="Tahoma" w:cs="Tahoma"/>
                <w:i/>
                <w:iCs/>
              </w:rPr>
              <w:t>MZTO-2025-00005</w:t>
            </w:r>
            <w:r>
              <w:rPr>
                <w:rFonts w:ascii="Tahoma" w:hAnsi="Tahoma" w:cs="Tahoma"/>
                <w:i/>
                <w:iCs/>
              </w:rPr>
              <w:t xml:space="preserve"> </w:t>
            </w:r>
            <w:r w:rsidRPr="00D23DE1">
              <w:rPr>
                <w:rFonts w:ascii="Tahoma" w:hAnsi="Tahoma" w:cs="Tahoma"/>
                <w:i/>
                <w:iCs/>
              </w:rPr>
              <w:t>Поставк</w:t>
            </w:r>
            <w:r>
              <w:rPr>
                <w:rFonts w:ascii="Tahoma" w:hAnsi="Tahoma" w:cs="Tahoma"/>
                <w:i/>
                <w:iCs/>
              </w:rPr>
              <w:t>а</w:t>
            </w:r>
            <w:r w:rsidRPr="00D23DE1">
              <w:rPr>
                <w:rFonts w:ascii="Tahoma" w:hAnsi="Tahoma" w:cs="Tahoma"/>
                <w:i/>
                <w:iCs/>
              </w:rPr>
              <w:t xml:space="preserve"> оборудования и инструмента для электромонтажного участка</w:t>
            </w:r>
          </w:p>
        </w:tc>
      </w:tr>
      <w:tr w:rsidR="00961F82" w:rsidRPr="00767B15" w14:paraId="35A2C2FD" w14:textId="77777777" w:rsidTr="00B84777">
        <w:trPr>
          <w:trHeight w:val="918"/>
        </w:trPr>
        <w:tc>
          <w:tcPr>
            <w:tcW w:w="1966" w:type="pct"/>
          </w:tcPr>
          <w:p w14:paraId="0B27169B" w14:textId="77777777"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14:paraId="759AED6E" w14:textId="5F0DD442"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r w:rsidR="006F24C3" w:rsidRPr="006F24C3">
              <w:rPr>
                <w:rFonts w:ascii="Tahoma" w:hAnsi="Tahoma" w:cs="Tahoma"/>
                <w:color w:val="000000"/>
              </w:rPr>
              <w:t>https://web.etprf.ru/</w:t>
            </w:r>
          </w:p>
          <w:p w14:paraId="53938CD8" w14:textId="519A5B40"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 xml:space="preserve">Запрос </w:t>
            </w:r>
            <w:r w:rsidR="00E630B4">
              <w:rPr>
                <w:rFonts w:ascii="Tahoma" w:hAnsi="Tahoma" w:cs="Tahoma"/>
                <w:iCs/>
                <w:color w:val="000000"/>
              </w:rPr>
              <w:t>предложений</w:t>
            </w:r>
            <w:r w:rsidRPr="00A2113C">
              <w:rPr>
                <w:rFonts w:ascii="Tahoma" w:hAnsi="Tahoma" w:cs="Tahoma"/>
                <w:iCs/>
                <w:color w:val="000000"/>
              </w:rPr>
              <w:t xml:space="preserve"> проводится в открытой форме.</w:t>
            </w:r>
          </w:p>
          <w:p w14:paraId="5E8F2C49" w14:textId="77777777" w:rsidR="00961F82" w:rsidRPr="00B6334E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ED0D54" w:rsidRPr="00767B15" w14:paraId="57416834" w14:textId="77777777" w:rsidTr="00E630B4">
        <w:trPr>
          <w:trHeight w:val="874"/>
        </w:trPr>
        <w:tc>
          <w:tcPr>
            <w:tcW w:w="1966" w:type="pct"/>
          </w:tcPr>
          <w:p w14:paraId="401F2EEA" w14:textId="77777777"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14:paraId="6E201157" w14:textId="77777777" w:rsidR="003966D4" w:rsidRDefault="00E630B4" w:rsidP="003C01DC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E630B4">
              <w:rPr>
                <w:rFonts w:ascii="Tahoma" w:hAnsi="Tahoma" w:cs="Tahoma"/>
                <w:iCs/>
              </w:rPr>
              <w:t>129626, г. Москва, ул. 1-ая Мытищинская д. 27, стр. 1</w:t>
            </w:r>
          </w:p>
          <w:p w14:paraId="46BCE246" w14:textId="617B34A4" w:rsidR="00E630B4" w:rsidRPr="00E630B4" w:rsidRDefault="00E630B4" w:rsidP="003C01DC">
            <w:pPr>
              <w:spacing w:after="0" w:line="240" w:lineRule="auto"/>
              <w:jc w:val="both"/>
              <w:rPr>
                <w:rFonts w:ascii="Tahoma" w:hAnsi="Tahoma" w:cs="Tahoma"/>
                <w:i/>
                <w:highlight w:val="red"/>
              </w:rPr>
            </w:pPr>
          </w:p>
        </w:tc>
      </w:tr>
      <w:tr w:rsidR="00D63858" w:rsidRPr="00767B15" w14:paraId="30BBED07" w14:textId="77777777" w:rsidTr="00E31E07">
        <w:trPr>
          <w:trHeight w:val="416"/>
        </w:trPr>
        <w:tc>
          <w:tcPr>
            <w:tcW w:w="1966" w:type="pct"/>
          </w:tcPr>
          <w:p w14:paraId="03476564" w14:textId="77777777" w:rsidR="00D63858" w:rsidRPr="00292DE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14:paraId="723CF123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Срок исполнения договора до 31.12.2025 г.</w:t>
            </w:r>
          </w:p>
          <w:p w14:paraId="26FBD18A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E630B4">
              <w:rPr>
                <w:rFonts w:ascii="Tahoma" w:hAnsi="Tahoma" w:cs="Tahoma"/>
                <w:bCs/>
                <w:color w:val="000000"/>
              </w:rPr>
              <w:t>Гарантийный срок</w:t>
            </w:r>
            <w:r>
              <w:rPr>
                <w:rFonts w:ascii="Tahoma" w:hAnsi="Tahoma" w:cs="Tahoma"/>
                <w:bCs/>
                <w:color w:val="000000"/>
              </w:rPr>
              <w:t xml:space="preserve">: </w:t>
            </w:r>
            <w:r w:rsidRPr="00FB5BCB">
              <w:rPr>
                <w:rFonts w:ascii="Tahoma" w:hAnsi="Tahoma" w:cs="Tahoma"/>
                <w:bCs/>
                <w:color w:val="000000"/>
              </w:rPr>
              <w:t>в соответствии с предложением поставщика</w:t>
            </w:r>
          </w:p>
          <w:p w14:paraId="5DDE359F" w14:textId="35890FA2" w:rsidR="00F71A54" w:rsidRPr="00F71A54" w:rsidRDefault="00D23DE1" w:rsidP="00D63858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E630B4">
              <w:rPr>
                <w:rFonts w:ascii="Tahoma" w:hAnsi="Tahoma" w:cs="Tahoma"/>
                <w:bCs/>
                <w:color w:val="000000"/>
              </w:rPr>
              <w:t>Прочие условия</w:t>
            </w:r>
            <w:r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Pr="00F71A54">
              <w:rPr>
                <w:rFonts w:ascii="Tahoma" w:hAnsi="Tahoma" w:cs="Tahoma"/>
                <w:bCs/>
                <w:color w:val="000000"/>
              </w:rPr>
              <w:t>(</w:t>
            </w:r>
            <w:r>
              <w:rPr>
                <w:rFonts w:ascii="Tahoma" w:hAnsi="Tahoma" w:cs="Tahoma"/>
                <w:bCs/>
                <w:color w:val="000000"/>
              </w:rPr>
              <w:t>при наличии): 100% постоплата</w:t>
            </w:r>
          </w:p>
        </w:tc>
      </w:tr>
      <w:tr w:rsidR="00D63858" w:rsidRPr="00767B15" w14:paraId="0BD065AE" w14:textId="77777777" w:rsidTr="00E36AFE">
        <w:trPr>
          <w:trHeight w:val="417"/>
        </w:trPr>
        <w:tc>
          <w:tcPr>
            <w:tcW w:w="1966" w:type="pct"/>
          </w:tcPr>
          <w:p w14:paraId="3480FE56" w14:textId="77777777"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14:paraId="709C21AC" w14:textId="77777777" w:rsidR="00D23DE1" w:rsidRPr="005D0B74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D0B74">
              <w:rPr>
                <w:rFonts w:ascii="Tahoma" w:hAnsi="Tahoma" w:cs="Tahoma"/>
                <w:b/>
              </w:rPr>
              <w:t>Не определена</w:t>
            </w:r>
          </w:p>
          <w:p w14:paraId="30C4ABB6" w14:textId="77777777" w:rsidR="00D23DE1" w:rsidRPr="005D0B74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37ECA05A" w14:textId="03FC3213" w:rsidR="00D63858" w:rsidRPr="00E630B4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b/>
                <w:iCs/>
              </w:rPr>
            </w:pPr>
            <w:r w:rsidRPr="005D0B74">
              <w:rPr>
                <w:rFonts w:ascii="Tahoma" w:hAnsi="Tahoma" w:cs="Tahoma"/>
              </w:rPr>
              <w:t xml:space="preserve">Победитель будет определен путем </w:t>
            </w:r>
            <w:r>
              <w:rPr>
                <w:rFonts w:ascii="Tahoma" w:hAnsi="Tahoma" w:cs="Tahoma"/>
              </w:rPr>
              <w:t>выявления наилучшего предложения, с учетом соответствия требованиям запрашиваемой продукции (Приложение 2), условиям поставки и минимальной цены предложения.</w:t>
            </w:r>
          </w:p>
        </w:tc>
      </w:tr>
      <w:tr w:rsidR="00183EBE" w:rsidRPr="00767B15" w14:paraId="26B316A8" w14:textId="77777777" w:rsidTr="00B84777">
        <w:trPr>
          <w:trHeight w:val="654"/>
        </w:trPr>
        <w:tc>
          <w:tcPr>
            <w:tcW w:w="1966" w:type="pct"/>
          </w:tcPr>
          <w:p w14:paraId="54D9748A" w14:textId="77777777"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14:paraId="3CF5F230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6334E">
              <w:rPr>
                <w:rFonts w:ascii="Tahoma" w:hAnsi="Tahoma" w:cs="Tahoma"/>
              </w:rPr>
              <w:t xml:space="preserve">Приведены в 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</w:t>
            </w:r>
            <w:r>
              <w:rPr>
                <w:rFonts w:ascii="Tahoma" w:hAnsi="Tahoma" w:cs="Tahoma"/>
              </w:rPr>
              <w:t xml:space="preserve"> (перечень для запроса)</w:t>
            </w:r>
            <w:r w:rsidRPr="00B6334E">
              <w:rPr>
                <w:rFonts w:ascii="Tahoma" w:hAnsi="Tahoma" w:cs="Tahoma"/>
              </w:rPr>
              <w:t>.</w:t>
            </w:r>
          </w:p>
          <w:p w14:paraId="4258E8B0" w14:textId="77777777" w:rsidR="00D23DE1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Допускается предложение аналогов, соответствующих по характеристикам запрошенным позициям.</w:t>
            </w:r>
          </w:p>
          <w:p w14:paraId="3558B20B" w14:textId="67E38C30" w:rsidR="00183EBE" w:rsidRPr="00767B15" w:rsidRDefault="00D23DE1" w:rsidP="00D23DE1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Допускается предложение по части позиций.</w:t>
            </w:r>
          </w:p>
        </w:tc>
      </w:tr>
      <w:tr w:rsidR="00CA6947" w:rsidRPr="00767B15" w14:paraId="112F509E" w14:textId="77777777" w:rsidTr="00B84777">
        <w:trPr>
          <w:trHeight w:val="841"/>
        </w:trPr>
        <w:tc>
          <w:tcPr>
            <w:tcW w:w="1966" w:type="pct"/>
          </w:tcPr>
          <w:p w14:paraId="3F78E986" w14:textId="43025C5D"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t xml:space="preserve">Требования, предъявляемые к участникам запроса </w:t>
            </w:r>
            <w:r w:rsidR="00F71A54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</w:tcPr>
          <w:p w14:paraId="1CA37FE4" w14:textId="77777777"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14:paraId="476E08DF" w14:textId="77777777"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14:paraId="635731F2" w14:textId="77777777"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0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 xml:space="preserve">, установленным в соответствии с </w:t>
            </w:r>
            <w:r w:rsidRPr="008607FD">
              <w:rPr>
                <w:rFonts w:ascii="Tahoma" w:hAnsi="Tahoma" w:cs="Tahoma"/>
              </w:rPr>
              <w:lastRenderedPageBreak/>
              <w:t>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14:paraId="2323F013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14:paraId="34BDD69B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14:paraId="71DEB9A5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1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14:paraId="0884D7C5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14:paraId="6B565889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14:paraId="1C5E7A1A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14:paraId="6F7F03B8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14:paraId="76BEA699" w14:textId="0240CBB6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Федерации;</w:t>
            </w:r>
          </w:p>
          <w:p w14:paraId="0B0A260F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14:paraId="1F62C546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14:paraId="2B36CE45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оговора, заключаемого по результатам Закупочной процедуры (наличие лицензий, выписок из реестров членов саморегулируемых организаций, допусков и других документов);</w:t>
            </w:r>
          </w:p>
          <w:p w14:paraId="7093FD9D" w14:textId="77777777"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14:paraId="787553FD" w14:textId="77777777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 xml:space="preserve">ся лицом, находящимся под санкциями в соответствии с Указом Президента Российской Федерации от 03.05.2022 г. № 252 «О применении ответных </w:t>
            </w:r>
            <w:r w:rsidRPr="00EB7647">
              <w:rPr>
                <w:rFonts w:ascii="Tahoma" w:hAnsi="Tahoma" w:cs="Tahoma"/>
              </w:rPr>
              <w:lastRenderedPageBreak/>
              <w:t>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14:paraId="4823F6BD" w14:textId="4C9E273D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14:paraId="26BD84CE" w14:textId="606FEF79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иностранным лицом, связанным с иностранными государствами, 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14:paraId="4F9CAC00" w14:textId="5C8E6014" w:rsidR="00227584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14:paraId="1C0BF128" w14:textId="76E831FC" w:rsidR="00285AB8" w:rsidRPr="00DF08A4" w:rsidRDefault="00285AB8" w:rsidP="00D23DE1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CA6947" w:rsidRPr="00767B15" w14:paraId="5126411E" w14:textId="77777777" w:rsidTr="00183EBE">
        <w:trPr>
          <w:trHeight w:val="831"/>
        </w:trPr>
        <w:tc>
          <w:tcPr>
            <w:tcW w:w="1966" w:type="pct"/>
          </w:tcPr>
          <w:p w14:paraId="5F348301" w14:textId="77777777"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14:paraId="7C92B3BF" w14:textId="6F665A98" w:rsidR="00BA01F9" w:rsidRPr="00FB19AC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 w:rsidRPr="00FB19AC">
              <w:rPr>
                <w:rFonts w:ascii="Tahoma" w:hAnsi="Tahoma" w:cs="Tahoma"/>
                <w:iCs/>
              </w:rPr>
              <w:t>И</w:t>
            </w:r>
            <w:r w:rsidRPr="00FB19AC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 w:rsidRPr="00FB19AC">
              <w:rPr>
                <w:rFonts w:ascii="Tahoma" w:hAnsi="Tahoma" w:cs="Tahoma"/>
                <w:iCs/>
              </w:rPr>
              <w:t>З</w:t>
            </w:r>
            <w:r w:rsidRPr="00FB19AC">
              <w:rPr>
                <w:rFonts w:ascii="Tahoma" w:hAnsi="Tahoma" w:cs="Tahoma"/>
                <w:iCs/>
              </w:rPr>
              <w:t xml:space="preserve">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FB19AC">
              <w:rPr>
                <w:rFonts w:ascii="Tahoma" w:hAnsi="Tahoma" w:cs="Tahoma"/>
                <w:iCs/>
              </w:rPr>
              <w:t xml:space="preserve"> на </w:t>
            </w:r>
            <w:r w:rsidR="006D42EF" w:rsidRPr="00FB19AC">
              <w:rPr>
                <w:rFonts w:ascii="Tahoma" w:hAnsi="Tahoma" w:cs="Tahoma"/>
                <w:iCs/>
              </w:rPr>
              <w:t>ЭТП</w:t>
            </w:r>
          </w:p>
          <w:p w14:paraId="2306A64B" w14:textId="6766F6DF" w:rsidR="00CA6947" w:rsidRPr="00FB19AC" w:rsidRDefault="00D23DE1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23DE1">
              <w:rPr>
                <w:rFonts w:ascii="Tahoma" w:hAnsi="Tahoma" w:cs="Tahoma"/>
                <w:iCs/>
              </w:rPr>
              <w:t>14</w:t>
            </w:r>
            <w:r w:rsidR="00183EBE" w:rsidRPr="00D23DE1">
              <w:rPr>
                <w:rFonts w:ascii="Tahoma" w:hAnsi="Tahoma" w:cs="Tahoma"/>
                <w:iCs/>
              </w:rPr>
              <w:t>.</w:t>
            </w:r>
            <w:r w:rsidRPr="00D23DE1">
              <w:rPr>
                <w:rFonts w:ascii="Tahoma" w:hAnsi="Tahoma" w:cs="Tahoma"/>
                <w:iCs/>
              </w:rPr>
              <w:t>11</w:t>
            </w:r>
            <w:r w:rsidR="00183EBE" w:rsidRPr="00D23DE1">
              <w:rPr>
                <w:rFonts w:ascii="Tahoma" w:hAnsi="Tahoma" w:cs="Tahoma"/>
                <w:iCs/>
              </w:rPr>
              <w:t>.</w:t>
            </w:r>
            <w:r>
              <w:rPr>
                <w:rFonts w:ascii="Tahoma" w:hAnsi="Tahoma" w:cs="Tahoma"/>
                <w:iCs/>
              </w:rPr>
              <w:t>2025</w:t>
            </w:r>
          </w:p>
        </w:tc>
      </w:tr>
      <w:tr w:rsidR="00CA6947" w:rsidRPr="00767B15" w14:paraId="2384DE8B" w14:textId="77777777" w:rsidTr="00B84777">
        <w:trPr>
          <w:trHeight w:val="125"/>
        </w:trPr>
        <w:tc>
          <w:tcPr>
            <w:tcW w:w="1966" w:type="pct"/>
          </w:tcPr>
          <w:p w14:paraId="439D0CBE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14:paraId="7AFE9DA0" w14:textId="32CAECE2" w:rsidR="009564BB" w:rsidRPr="00FB19AC" w:rsidRDefault="0008554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08554E">
              <w:rPr>
                <w:rFonts w:ascii="Tahoma" w:hAnsi="Tahoma" w:cs="Tahoma"/>
                <w:iCs/>
              </w:rPr>
              <w:t>21</w:t>
            </w:r>
            <w:r w:rsidR="00183EBE" w:rsidRPr="0008554E">
              <w:rPr>
                <w:rFonts w:ascii="Tahoma" w:hAnsi="Tahoma" w:cs="Tahoma"/>
                <w:iCs/>
              </w:rPr>
              <w:t>.</w:t>
            </w:r>
            <w:r w:rsidRPr="0008554E">
              <w:rPr>
                <w:rFonts w:ascii="Tahoma" w:hAnsi="Tahoma" w:cs="Tahoma"/>
                <w:iCs/>
              </w:rPr>
              <w:t>11</w:t>
            </w:r>
            <w:r w:rsidR="00183EBE" w:rsidRPr="0008554E">
              <w:rPr>
                <w:rFonts w:ascii="Tahoma" w:hAnsi="Tahoma" w:cs="Tahoma"/>
                <w:iCs/>
              </w:rPr>
              <w:t>.</w:t>
            </w:r>
            <w:r w:rsidRPr="0008554E">
              <w:rPr>
                <w:rFonts w:ascii="Tahoma" w:hAnsi="Tahoma" w:cs="Tahoma"/>
                <w:iCs/>
              </w:rPr>
              <w:t>2025</w:t>
            </w:r>
            <w:r w:rsidR="00183EBE" w:rsidRPr="00FB19AC">
              <w:rPr>
                <w:rFonts w:ascii="Tahoma" w:hAnsi="Tahoma" w:cs="Tahoma"/>
                <w:iCs/>
              </w:rPr>
              <w:t xml:space="preserve">, до </w:t>
            </w:r>
            <w:r>
              <w:rPr>
                <w:rFonts w:ascii="Tahoma" w:hAnsi="Tahoma" w:cs="Tahoma"/>
                <w:iCs/>
              </w:rPr>
              <w:t>15</w:t>
            </w:r>
            <w:r w:rsidR="00183EBE" w:rsidRPr="00FB19AC">
              <w:rPr>
                <w:rFonts w:ascii="Tahoma" w:hAnsi="Tahoma" w:cs="Tahoma"/>
                <w:iCs/>
              </w:rPr>
              <w:t>:00 (время МСК)</w:t>
            </w:r>
          </w:p>
          <w:p w14:paraId="14F203B4" w14:textId="7E968786" w:rsidR="00CA6947" w:rsidRPr="00FB19AC" w:rsidRDefault="009B6308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Заказчик</w:t>
            </w:r>
            <w:r w:rsidR="0023373F" w:rsidRPr="00FB19AC">
              <w:rPr>
                <w:rFonts w:ascii="Tahoma" w:hAnsi="Tahoma" w:cs="Tahoma"/>
                <w:iCs/>
              </w:rPr>
              <w:t xml:space="preserve"> вправе продлить срок подачи З</w:t>
            </w:r>
            <w:r w:rsidR="009564BB" w:rsidRPr="00FB19AC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14:paraId="7CF2084D" w14:textId="77777777" w:rsidTr="00E36AFE">
        <w:trPr>
          <w:trHeight w:val="809"/>
        </w:trPr>
        <w:tc>
          <w:tcPr>
            <w:tcW w:w="1966" w:type="pct"/>
          </w:tcPr>
          <w:p w14:paraId="3B5A3F48" w14:textId="77777777"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7D42" w14:textId="50C9F4B1" w:rsidR="00183EBE" w:rsidRPr="00FB19AC" w:rsidRDefault="0008554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25.11.2025</w:t>
            </w:r>
            <w:r w:rsidR="00183EBE" w:rsidRPr="003A5E48">
              <w:rPr>
                <w:rFonts w:ascii="Tahoma" w:hAnsi="Tahoma" w:cs="Tahoma"/>
                <w:iCs/>
              </w:rPr>
              <w:t>,</w:t>
            </w:r>
            <w:r w:rsidR="00183EBE" w:rsidRPr="00FB19AC">
              <w:rPr>
                <w:rFonts w:ascii="Tahoma" w:hAnsi="Tahoma" w:cs="Tahoma"/>
                <w:iCs/>
              </w:rPr>
              <w:t xml:space="preserve"> до 18:00 часов (время МСК)</w:t>
            </w:r>
          </w:p>
          <w:p w14:paraId="2EE4071F" w14:textId="68C2DD4D" w:rsidR="00CA6947" w:rsidRPr="00FB19AC" w:rsidRDefault="009B6308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</w:rPr>
              <w:t>Заказчик</w:t>
            </w:r>
            <w:r w:rsidR="00CA6947" w:rsidRPr="00FB19AC">
              <w:rPr>
                <w:rFonts w:ascii="Tahoma" w:hAnsi="Tahoma" w:cs="Tahoma"/>
              </w:rPr>
              <w:t xml:space="preserve"> вправе продлить срок рассмотрения </w:t>
            </w:r>
            <w:r w:rsidR="00FD3158" w:rsidRPr="00FB19AC">
              <w:rPr>
                <w:rFonts w:ascii="Tahoma" w:hAnsi="Tahoma" w:cs="Tahoma"/>
              </w:rPr>
              <w:t>З</w:t>
            </w:r>
            <w:r w:rsidR="00CA6947" w:rsidRPr="00FB19AC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D63858" w:rsidRPr="00767B15" w14:paraId="5D229F02" w14:textId="77777777" w:rsidTr="00B84777">
        <w:trPr>
          <w:trHeight w:val="557"/>
        </w:trPr>
        <w:tc>
          <w:tcPr>
            <w:tcW w:w="1966" w:type="pct"/>
          </w:tcPr>
          <w:p w14:paraId="6C355C38" w14:textId="77777777" w:rsidR="00D63858" w:rsidRPr="00DC1F8F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 w:themeColor="text1"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 xml:space="preserve">Порядок расчетов </w:t>
            </w:r>
          </w:p>
          <w:p w14:paraId="561FC010" w14:textId="77777777"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>по договору</w:t>
            </w:r>
          </w:p>
        </w:tc>
        <w:tc>
          <w:tcPr>
            <w:tcW w:w="3034" w:type="pct"/>
          </w:tcPr>
          <w:p w14:paraId="0FDE45A6" w14:textId="771053A7" w:rsidR="000A013D" w:rsidRPr="000A013D" w:rsidRDefault="0008554E" w:rsidP="00D638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Cs/>
              </w:rPr>
              <w:t>100% постоплата в течение 20 рабочих дней с даты поставки продукции</w:t>
            </w:r>
            <w:r w:rsidRPr="000A013D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CA6947" w:rsidRPr="00767B15" w14:paraId="6B7A93E4" w14:textId="77777777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14:paraId="143B084A" w14:textId="196C671E"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Форма заявки для участия в запросе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14:paraId="37B9BC53" w14:textId="326CBA57"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>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7A20E7" w:rsidRPr="00767B15" w14:paraId="63773A83" w14:textId="77777777" w:rsidTr="00ED0D54">
        <w:trPr>
          <w:trHeight w:val="617"/>
        </w:trPr>
        <w:tc>
          <w:tcPr>
            <w:tcW w:w="1966" w:type="pct"/>
            <w:tcBorders>
              <w:right w:val="single" w:sz="4" w:space="0" w:color="auto"/>
            </w:tcBorders>
          </w:tcPr>
          <w:p w14:paraId="58888691" w14:textId="77777777" w:rsidR="007A20E7" w:rsidRPr="00767B15" w:rsidRDefault="007A20E7" w:rsidP="007A20E7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E120CF">
              <w:rPr>
                <w:rFonts w:ascii="Tahoma" w:hAnsi="Tahoma" w:cs="Tahoma"/>
                <w:iCs/>
                <w:color w:val="000000" w:themeColor="text1"/>
              </w:rPr>
              <w:t>Иная информация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14:paraId="089F4285" w14:textId="77777777" w:rsidR="007A20E7" w:rsidRDefault="007A20E7" w:rsidP="007A20E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 xml:space="preserve">е договора Победителя закупочной процедуры при </w:t>
            </w:r>
            <w:r>
              <w:rPr>
                <w:rFonts w:ascii="Tahoma" w:hAnsi="Tahoma" w:cs="Tahoma"/>
              </w:rPr>
              <w:lastRenderedPageBreak/>
              <w:t>условии согласования формы договора Победителя Заказчиком с включением в нее/или исключением из нее условий, которые Заказчик сочтет необходимыми 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14:paraId="60C793A0" w14:textId="77777777" w:rsidR="007A20E7" w:rsidRPr="008C677B" w:rsidRDefault="007A20E7" w:rsidP="007A20E7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Приоритетным является заключение договора с Победителем по проекту договора Заказчика. Проект такого договора/условия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14:paraId="075D7949" w14:textId="77777777" w:rsidTr="00B84777">
        <w:trPr>
          <w:trHeight w:val="147"/>
        </w:trPr>
        <w:tc>
          <w:tcPr>
            <w:tcW w:w="1966" w:type="pct"/>
          </w:tcPr>
          <w:p w14:paraId="700CA82D" w14:textId="7F9659F0"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 xml:space="preserve">Дополнительные элементы Запроса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</w:tcPr>
          <w:p w14:paraId="309CB877" w14:textId="77777777" w:rsidR="00ED0D54" w:rsidRPr="00D63858" w:rsidRDefault="006D42EF" w:rsidP="00D63858">
            <w:pPr>
              <w:pStyle w:val="ae"/>
              <w:tabs>
                <w:tab w:val="left" w:pos="271"/>
              </w:tabs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14:paraId="559DDB12" w14:textId="77777777" w:rsidR="009B6308" w:rsidRDefault="009B6308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77B5964" w14:textId="6BD7C539" w:rsidR="009B6308" w:rsidRPr="009B6308" w:rsidRDefault="009B6308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 w:rsidRPr="009B6308">
        <w:rPr>
          <w:rFonts w:ascii="Tahoma" w:hAnsi="Tahoma" w:cs="Tahoma"/>
        </w:rPr>
        <w:t xml:space="preserve">Проводимые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регламентированные способы Закупок являются установленными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способами выбора поставщика, для ведения с ним переговоров по согласованию существенных и иных условий договора соответствующего вида в целях последующего заключения договора. Не являются торгами, и проведение не регулируется статьями 447 - 449 Гражданского кодекса РФ, так же не являются публичным конкурсом и не регулируются статьями 1057 - 1061 Гражданского кодекса РФ, что не накладывает на </w:t>
      </w:r>
      <w:r>
        <w:rPr>
          <w:rFonts w:ascii="Tahoma" w:hAnsi="Tahoma" w:cs="Tahoma"/>
        </w:rPr>
        <w:t>Заказчика</w:t>
      </w:r>
      <w:r w:rsidRPr="009B6308">
        <w:rPr>
          <w:rFonts w:ascii="Tahoma" w:hAnsi="Tahoma" w:cs="Tahoma"/>
        </w:rPr>
        <w:t xml:space="preserve"> соответствующего объема гражданско-правовых обязательств по обязательному заключению договора с Победителем или иным Участником. Участник закупочной процедуры за свой счет несет все расходы, связанные с подготовкой и подачей необходимых документов на участие в ней.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Участникам понесенных ими расходов и любых других издержек, связанных с подготовкой к участию и участием в закупочной процедуре (реального ущерба), и упущенной выгоды независимо от результатов закупочной процедуры.</w:t>
      </w:r>
    </w:p>
    <w:p w14:paraId="0085F6C1" w14:textId="2537A911" w:rsidR="009B6308" w:rsidRDefault="009B6308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 w:rsidRPr="009B6308">
        <w:rPr>
          <w:rFonts w:ascii="Tahoma" w:hAnsi="Tahoma" w:cs="Tahoma"/>
        </w:rPr>
        <w:t xml:space="preserve">Победитель за свой счет несет все расходы, связанные с проведением переговоров с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по согласованию существенных и иных условий договора соответствующего вида, а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Победителю понесенных им расходов и любых других издержек, связанных с ведением переговоров (реального ущерба), и упущенной выгоды независимо от результатов переговоров. В случае недостижения соглашения по условиям договора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вправе не заключать договор с Победителем.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вправе на любом этапе отказаться от проведения закупочной процедуры, ведения переговоров и/или заключения договора, направив уведомление об этом Участникам или Победителю либо, разместив соответствующее сообщение на официальном сайте </w:t>
      </w:r>
      <w:r>
        <w:rPr>
          <w:rFonts w:ascii="Tahoma" w:hAnsi="Tahoma" w:cs="Tahoma"/>
        </w:rPr>
        <w:t>Заказчика</w:t>
      </w:r>
      <w:r w:rsidRPr="009B6308">
        <w:rPr>
          <w:rFonts w:ascii="Tahoma" w:hAnsi="Tahoma" w:cs="Tahoma"/>
        </w:rPr>
        <w:t xml:space="preserve">. При этом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Участникам или Победителю процедуры понесенных ими расходов и любых других издержек (реального ущерба) и упущенной выгоды.</w:t>
      </w:r>
    </w:p>
    <w:p w14:paraId="635DBC2D" w14:textId="1E0903BC" w:rsidR="009E758D" w:rsidRDefault="009E758D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20A1D7C1" w14:textId="7B2CCC40" w:rsidR="009E758D" w:rsidRDefault="009E758D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Приложения к Извещению:</w:t>
      </w:r>
    </w:p>
    <w:p w14:paraId="6BD948D1" w14:textId="77777777" w:rsidR="009E758D" w:rsidRDefault="009E758D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3E3CC777" w14:textId="4D64047A" w:rsidR="00154C06" w:rsidRDefault="009E758D" w:rsidP="00154C06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Приложение 1. Форма заявки</w:t>
      </w:r>
    </w:p>
    <w:p w14:paraId="110C895A" w14:textId="77777777" w:rsidR="00154C06" w:rsidRPr="00154C06" w:rsidRDefault="00154C06" w:rsidP="00154C06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1C319F95" w14:textId="5BF8A802" w:rsidR="009E758D" w:rsidRDefault="009E758D" w:rsidP="0008554E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2. </w:t>
      </w:r>
      <w:r w:rsidR="0008554E">
        <w:rPr>
          <w:rFonts w:ascii="Tahoma" w:hAnsi="Tahoma" w:cs="Tahoma"/>
        </w:rPr>
        <w:t>Перечень для запроса</w:t>
      </w:r>
    </w:p>
    <w:p w14:paraId="3020FCC3" w14:textId="77777777" w:rsidR="00154C06" w:rsidRPr="00154C06" w:rsidRDefault="00154C06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/>
          <w:iCs/>
        </w:rPr>
      </w:pPr>
    </w:p>
    <w:p w14:paraId="7DC59CC3" w14:textId="0840DAC7" w:rsidR="009B6308" w:rsidRDefault="00F71A5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</w:t>
      </w:r>
      <w:r w:rsidR="0008554E">
        <w:rPr>
          <w:rFonts w:ascii="Tahoma" w:hAnsi="Tahoma" w:cs="Tahoma"/>
        </w:rPr>
        <w:t>3</w:t>
      </w:r>
      <w:r>
        <w:rPr>
          <w:rFonts w:ascii="Tahoma" w:hAnsi="Tahoma" w:cs="Tahoma"/>
        </w:rPr>
        <w:t>. Проект договора</w:t>
      </w:r>
    </w:p>
    <w:p w14:paraId="4594DFA0" w14:textId="77777777" w:rsidR="009B6308" w:rsidRDefault="009B6308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8CDC821" w14:textId="77777777"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00FE" w14:textId="77777777" w:rsidR="00167F82" w:rsidRDefault="00167F82" w:rsidP="00187070">
      <w:pPr>
        <w:spacing w:after="0" w:line="240" w:lineRule="auto"/>
      </w:pPr>
      <w:r>
        <w:separator/>
      </w:r>
    </w:p>
  </w:endnote>
  <w:endnote w:type="continuationSeparator" w:id="0">
    <w:p w14:paraId="7FD81C92" w14:textId="77777777" w:rsidR="00167F82" w:rsidRDefault="00167F82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A00002EF" w:usb1="5000E0FB" w:usb2="00000000" w:usb3="00000000" w:csb0="000001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21E2" w14:textId="77777777" w:rsidR="00167F82" w:rsidRDefault="00167F82" w:rsidP="00187070">
      <w:pPr>
        <w:spacing w:after="0" w:line="240" w:lineRule="auto"/>
      </w:pPr>
      <w:r>
        <w:separator/>
      </w:r>
    </w:p>
  </w:footnote>
  <w:footnote w:type="continuationSeparator" w:id="0">
    <w:p w14:paraId="49068608" w14:textId="77777777" w:rsidR="00167F82" w:rsidRDefault="00167F82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280"/>
    <w:multiLevelType w:val="hybridMultilevel"/>
    <w:tmpl w:val="C3924D2A"/>
    <w:lvl w:ilvl="0" w:tplc="A4ACF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1C0C345F"/>
    <w:multiLevelType w:val="hybridMultilevel"/>
    <w:tmpl w:val="6D224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28A9"/>
    <w:multiLevelType w:val="hybridMultilevel"/>
    <w:tmpl w:val="6D224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6803"/>
    <w:multiLevelType w:val="hybridMultilevel"/>
    <w:tmpl w:val="34DAEF70"/>
    <w:lvl w:ilvl="0" w:tplc="E2C2C3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20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13"/>
  </w:num>
  <w:num w:numId="7">
    <w:abstractNumId w:val="22"/>
  </w:num>
  <w:num w:numId="8">
    <w:abstractNumId w:val="4"/>
  </w:num>
  <w:num w:numId="9">
    <w:abstractNumId w:val="0"/>
  </w:num>
  <w:num w:numId="10">
    <w:abstractNumId w:val="24"/>
  </w:num>
  <w:num w:numId="11">
    <w:abstractNumId w:val="3"/>
  </w:num>
  <w:num w:numId="12">
    <w:abstractNumId w:val="23"/>
  </w:num>
  <w:num w:numId="13">
    <w:abstractNumId w:val="14"/>
  </w:num>
  <w:num w:numId="14">
    <w:abstractNumId w:val="19"/>
  </w:num>
  <w:num w:numId="15">
    <w:abstractNumId w:val="26"/>
  </w:num>
  <w:num w:numId="16">
    <w:abstractNumId w:val="16"/>
  </w:num>
  <w:num w:numId="17">
    <w:abstractNumId w:val="15"/>
  </w:num>
  <w:num w:numId="18">
    <w:abstractNumId w:val="12"/>
  </w:num>
  <w:num w:numId="19">
    <w:abstractNumId w:val="17"/>
  </w:num>
  <w:num w:numId="20">
    <w:abstractNumId w:val="25"/>
  </w:num>
  <w:num w:numId="21">
    <w:abstractNumId w:val="5"/>
  </w:num>
  <w:num w:numId="22">
    <w:abstractNumId w:val="18"/>
  </w:num>
  <w:num w:numId="23">
    <w:abstractNumId w:val="5"/>
  </w:num>
  <w:num w:numId="24">
    <w:abstractNumId w:val="0"/>
  </w:num>
  <w:num w:numId="25">
    <w:abstractNumId w:val="0"/>
  </w:num>
  <w:num w:numId="26">
    <w:abstractNumId w:val="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7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275D7"/>
    <w:rsid w:val="00034769"/>
    <w:rsid w:val="00037912"/>
    <w:rsid w:val="000428FC"/>
    <w:rsid w:val="00042971"/>
    <w:rsid w:val="00042D04"/>
    <w:rsid w:val="00043EC0"/>
    <w:rsid w:val="000448B8"/>
    <w:rsid w:val="00045B22"/>
    <w:rsid w:val="000460BF"/>
    <w:rsid w:val="00046C0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554E"/>
    <w:rsid w:val="00087234"/>
    <w:rsid w:val="0009294B"/>
    <w:rsid w:val="000977F2"/>
    <w:rsid w:val="000A013D"/>
    <w:rsid w:val="000A143E"/>
    <w:rsid w:val="000A16E2"/>
    <w:rsid w:val="000A46DC"/>
    <w:rsid w:val="000A7362"/>
    <w:rsid w:val="000B17F8"/>
    <w:rsid w:val="000B26AD"/>
    <w:rsid w:val="000B2E8A"/>
    <w:rsid w:val="000B7796"/>
    <w:rsid w:val="000C0AEC"/>
    <w:rsid w:val="000C1BD2"/>
    <w:rsid w:val="000C235B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592C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173C7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0231"/>
    <w:rsid w:val="00141502"/>
    <w:rsid w:val="00142A08"/>
    <w:rsid w:val="00145098"/>
    <w:rsid w:val="0014589D"/>
    <w:rsid w:val="001465D3"/>
    <w:rsid w:val="00150170"/>
    <w:rsid w:val="00152C85"/>
    <w:rsid w:val="00153522"/>
    <w:rsid w:val="00154C06"/>
    <w:rsid w:val="001556B3"/>
    <w:rsid w:val="001568EB"/>
    <w:rsid w:val="0015759E"/>
    <w:rsid w:val="00163770"/>
    <w:rsid w:val="00164D8F"/>
    <w:rsid w:val="00167AD0"/>
    <w:rsid w:val="00167F82"/>
    <w:rsid w:val="00173243"/>
    <w:rsid w:val="0017468B"/>
    <w:rsid w:val="001756F2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879AD"/>
    <w:rsid w:val="00190357"/>
    <w:rsid w:val="0019061A"/>
    <w:rsid w:val="00192D7C"/>
    <w:rsid w:val="0019529E"/>
    <w:rsid w:val="0019592A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0DA6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30FE1"/>
    <w:rsid w:val="00331965"/>
    <w:rsid w:val="00332BD8"/>
    <w:rsid w:val="00336A28"/>
    <w:rsid w:val="00337FD1"/>
    <w:rsid w:val="00340BD8"/>
    <w:rsid w:val="00343D97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6F4F"/>
    <w:rsid w:val="00370B16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6C4"/>
    <w:rsid w:val="00394DB2"/>
    <w:rsid w:val="003966D4"/>
    <w:rsid w:val="003973CF"/>
    <w:rsid w:val="003A5C0A"/>
    <w:rsid w:val="003A5E48"/>
    <w:rsid w:val="003B08E6"/>
    <w:rsid w:val="003B498C"/>
    <w:rsid w:val="003B4AC6"/>
    <w:rsid w:val="003B7945"/>
    <w:rsid w:val="003C01DC"/>
    <w:rsid w:val="003C110A"/>
    <w:rsid w:val="003C32AB"/>
    <w:rsid w:val="003C6FE0"/>
    <w:rsid w:val="003D1694"/>
    <w:rsid w:val="003D2F3D"/>
    <w:rsid w:val="003D3807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08A7"/>
    <w:rsid w:val="004417E3"/>
    <w:rsid w:val="00450FC8"/>
    <w:rsid w:val="004515C3"/>
    <w:rsid w:val="0046433B"/>
    <w:rsid w:val="00465E9F"/>
    <w:rsid w:val="00466B3B"/>
    <w:rsid w:val="00471871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90D7B"/>
    <w:rsid w:val="00494095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3394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32B9"/>
    <w:rsid w:val="00584961"/>
    <w:rsid w:val="00587082"/>
    <w:rsid w:val="00587C01"/>
    <w:rsid w:val="0059360A"/>
    <w:rsid w:val="0059478F"/>
    <w:rsid w:val="005965CC"/>
    <w:rsid w:val="005A1C07"/>
    <w:rsid w:val="005A3AA7"/>
    <w:rsid w:val="005A5E96"/>
    <w:rsid w:val="005B5212"/>
    <w:rsid w:val="005B550E"/>
    <w:rsid w:val="005B6AEA"/>
    <w:rsid w:val="005C6F71"/>
    <w:rsid w:val="005D0155"/>
    <w:rsid w:val="005D0FF3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770BD"/>
    <w:rsid w:val="0068216A"/>
    <w:rsid w:val="00682E84"/>
    <w:rsid w:val="00684082"/>
    <w:rsid w:val="00684798"/>
    <w:rsid w:val="00684D15"/>
    <w:rsid w:val="006856E1"/>
    <w:rsid w:val="00690381"/>
    <w:rsid w:val="00692310"/>
    <w:rsid w:val="00693E5E"/>
    <w:rsid w:val="00694943"/>
    <w:rsid w:val="00694D49"/>
    <w:rsid w:val="00696346"/>
    <w:rsid w:val="006A0A70"/>
    <w:rsid w:val="006A1E9F"/>
    <w:rsid w:val="006B224F"/>
    <w:rsid w:val="006B4A66"/>
    <w:rsid w:val="006B509C"/>
    <w:rsid w:val="006B64CD"/>
    <w:rsid w:val="006C06BF"/>
    <w:rsid w:val="006C0820"/>
    <w:rsid w:val="006C0896"/>
    <w:rsid w:val="006C6AFC"/>
    <w:rsid w:val="006C6BB0"/>
    <w:rsid w:val="006C6BD5"/>
    <w:rsid w:val="006D2546"/>
    <w:rsid w:val="006D278F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063"/>
    <w:rsid w:val="006E526D"/>
    <w:rsid w:val="006E7342"/>
    <w:rsid w:val="006E7A00"/>
    <w:rsid w:val="006F24C3"/>
    <w:rsid w:val="006F3E22"/>
    <w:rsid w:val="007004B8"/>
    <w:rsid w:val="0070081D"/>
    <w:rsid w:val="00704DB0"/>
    <w:rsid w:val="0071127F"/>
    <w:rsid w:val="007120DD"/>
    <w:rsid w:val="007144B6"/>
    <w:rsid w:val="007154BD"/>
    <w:rsid w:val="007169D9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50590"/>
    <w:rsid w:val="00751D62"/>
    <w:rsid w:val="00755C7D"/>
    <w:rsid w:val="007602D0"/>
    <w:rsid w:val="00760F6E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C52"/>
    <w:rsid w:val="00777C90"/>
    <w:rsid w:val="00781449"/>
    <w:rsid w:val="007839CE"/>
    <w:rsid w:val="00790A5B"/>
    <w:rsid w:val="00791E82"/>
    <w:rsid w:val="007A1D9F"/>
    <w:rsid w:val="007A20E7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4760"/>
    <w:rsid w:val="00825E22"/>
    <w:rsid w:val="008263F4"/>
    <w:rsid w:val="008309F5"/>
    <w:rsid w:val="00830D1C"/>
    <w:rsid w:val="0083117D"/>
    <w:rsid w:val="00833A65"/>
    <w:rsid w:val="00834612"/>
    <w:rsid w:val="008404CB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904C02"/>
    <w:rsid w:val="00905148"/>
    <w:rsid w:val="00905D4E"/>
    <w:rsid w:val="009072B5"/>
    <w:rsid w:val="009112D3"/>
    <w:rsid w:val="0091700E"/>
    <w:rsid w:val="00917AE5"/>
    <w:rsid w:val="009236A3"/>
    <w:rsid w:val="00923EC9"/>
    <w:rsid w:val="009248C9"/>
    <w:rsid w:val="00927772"/>
    <w:rsid w:val="0093542E"/>
    <w:rsid w:val="00937A64"/>
    <w:rsid w:val="009415E1"/>
    <w:rsid w:val="0094280C"/>
    <w:rsid w:val="00942A1A"/>
    <w:rsid w:val="00942A1B"/>
    <w:rsid w:val="00943EBB"/>
    <w:rsid w:val="00944524"/>
    <w:rsid w:val="00950FA9"/>
    <w:rsid w:val="00951DA0"/>
    <w:rsid w:val="0095434C"/>
    <w:rsid w:val="009564BB"/>
    <w:rsid w:val="00956F70"/>
    <w:rsid w:val="00957D48"/>
    <w:rsid w:val="00957D85"/>
    <w:rsid w:val="00957FAD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2AEF"/>
    <w:rsid w:val="009856EA"/>
    <w:rsid w:val="009864F1"/>
    <w:rsid w:val="009934C3"/>
    <w:rsid w:val="009A00E3"/>
    <w:rsid w:val="009A030D"/>
    <w:rsid w:val="009A34F7"/>
    <w:rsid w:val="009A3AB1"/>
    <w:rsid w:val="009A6187"/>
    <w:rsid w:val="009A6815"/>
    <w:rsid w:val="009A7EAA"/>
    <w:rsid w:val="009B6308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E758D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4A9A"/>
    <w:rsid w:val="00A412C5"/>
    <w:rsid w:val="00A427D9"/>
    <w:rsid w:val="00A42E5C"/>
    <w:rsid w:val="00A444F9"/>
    <w:rsid w:val="00A44794"/>
    <w:rsid w:val="00A50524"/>
    <w:rsid w:val="00A50F0C"/>
    <w:rsid w:val="00A5106A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623F"/>
    <w:rsid w:val="00AE2BBB"/>
    <w:rsid w:val="00AE594F"/>
    <w:rsid w:val="00AE7338"/>
    <w:rsid w:val="00AF10C9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2D83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A01F9"/>
    <w:rsid w:val="00BA42F2"/>
    <w:rsid w:val="00BA6BBA"/>
    <w:rsid w:val="00BB0093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4DF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0CEE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4AF6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02D"/>
    <w:rsid w:val="00CF5426"/>
    <w:rsid w:val="00CF6967"/>
    <w:rsid w:val="00CF7FB2"/>
    <w:rsid w:val="00D00B45"/>
    <w:rsid w:val="00D01B41"/>
    <w:rsid w:val="00D02C2B"/>
    <w:rsid w:val="00D038B4"/>
    <w:rsid w:val="00D039AF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DE1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2CEA"/>
    <w:rsid w:val="00D551C4"/>
    <w:rsid w:val="00D564D6"/>
    <w:rsid w:val="00D63858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1F8F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4B2C"/>
    <w:rsid w:val="00E05540"/>
    <w:rsid w:val="00E05E26"/>
    <w:rsid w:val="00E120CF"/>
    <w:rsid w:val="00E1339C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0B4"/>
    <w:rsid w:val="00E63220"/>
    <w:rsid w:val="00E641A3"/>
    <w:rsid w:val="00E660AD"/>
    <w:rsid w:val="00E751DE"/>
    <w:rsid w:val="00E76B87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0D54"/>
    <w:rsid w:val="00ED4456"/>
    <w:rsid w:val="00ED6219"/>
    <w:rsid w:val="00ED6C6D"/>
    <w:rsid w:val="00EE07CE"/>
    <w:rsid w:val="00EE19BA"/>
    <w:rsid w:val="00EE3B54"/>
    <w:rsid w:val="00EE56AE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4104"/>
    <w:rsid w:val="00F6443E"/>
    <w:rsid w:val="00F64D00"/>
    <w:rsid w:val="00F701F9"/>
    <w:rsid w:val="00F71A54"/>
    <w:rsid w:val="00F726E0"/>
    <w:rsid w:val="00F77CFC"/>
    <w:rsid w:val="00F80217"/>
    <w:rsid w:val="00F82B16"/>
    <w:rsid w:val="00F83EB2"/>
    <w:rsid w:val="00F845D4"/>
    <w:rsid w:val="00F870CF"/>
    <w:rsid w:val="00F87530"/>
    <w:rsid w:val="00F901CA"/>
    <w:rsid w:val="00F91716"/>
    <w:rsid w:val="00F936B7"/>
    <w:rsid w:val="00F93E88"/>
    <w:rsid w:val="00F9409F"/>
    <w:rsid w:val="00F94766"/>
    <w:rsid w:val="00FA13A8"/>
    <w:rsid w:val="00FA2A94"/>
    <w:rsid w:val="00FA5CB8"/>
    <w:rsid w:val="00FB19AC"/>
    <w:rsid w:val="00FB3C28"/>
    <w:rsid w:val="00FB3D56"/>
    <w:rsid w:val="00FB463E"/>
    <w:rsid w:val="00FB4E84"/>
    <w:rsid w:val="00FB6462"/>
    <w:rsid w:val="00FC049C"/>
    <w:rsid w:val="00FC18DD"/>
    <w:rsid w:val="00FC20C8"/>
    <w:rsid w:val="00FC2276"/>
    <w:rsid w:val="00FC4E82"/>
    <w:rsid w:val="00FC5A12"/>
    <w:rsid w:val="00FC7F83"/>
    <w:rsid w:val="00FD1993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8E3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  <w:style w:type="paragraph" w:styleId="af9">
    <w:name w:val="No Spacing"/>
    <w:link w:val="afa"/>
    <w:rsid w:val="00E630B4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fa">
    <w:name w:val="Без интервала Знак"/>
    <w:link w:val="af9"/>
    <w:rsid w:val="00E630B4"/>
    <w:rPr>
      <w:rFonts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3D49-DF67-4EAC-835A-89EA5242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Anna</cp:lastModifiedBy>
  <cp:revision>10</cp:revision>
  <dcterms:created xsi:type="dcterms:W3CDTF">2025-10-06T12:08:00Z</dcterms:created>
  <dcterms:modified xsi:type="dcterms:W3CDTF">2025-11-14T12:45:00Z</dcterms:modified>
</cp:coreProperties>
</file>