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C252DA" w:rsidRPr="00C252DA" w:rsidRDefault="0019061A" w:rsidP="00951CC4">
      <w:pPr>
        <w:ind w:right="282"/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котировок </w:t>
      </w:r>
      <w:r w:rsidR="00961F82" w:rsidRPr="00961F82">
        <w:rPr>
          <w:rFonts w:ascii="Tahoma" w:hAnsi="Tahoma" w:cs="Tahoma"/>
          <w:b/>
          <w:bCs/>
        </w:rPr>
        <w:t>на поставку</w:t>
      </w:r>
      <w:r w:rsidR="00F307C3">
        <w:rPr>
          <w:rFonts w:ascii="Tahoma" w:hAnsi="Tahoma" w:cs="Tahoma"/>
          <w:b/>
          <w:bCs/>
        </w:rPr>
        <w:t xml:space="preserve"> </w:t>
      </w:r>
      <w:r w:rsidR="00287169" w:rsidRPr="00951CC4">
        <w:rPr>
          <w:rFonts w:ascii="Tahoma" w:hAnsi="Tahoma" w:cs="Tahoma"/>
          <w:b/>
          <w:bCs/>
        </w:rPr>
        <w:t xml:space="preserve">оборудования </w:t>
      </w:r>
      <w:r w:rsidR="00951CC4" w:rsidRPr="00951CC4">
        <w:rPr>
          <w:rFonts w:ascii="Tahoma" w:hAnsi="Tahoma" w:cs="Tahoma"/>
          <w:b/>
          <w:bCs/>
        </w:rPr>
        <w:t xml:space="preserve">и программного обеспечения (далее – ПО) </w:t>
      </w:r>
      <w:r w:rsidR="0088761D" w:rsidRPr="0088761D">
        <w:rPr>
          <w:rFonts w:ascii="Tahoma" w:hAnsi="Tahoma" w:cs="Tahoma"/>
          <w:b/>
          <w:bCs/>
        </w:rPr>
        <w:t>для организации сети WIFI</w:t>
      </w:r>
      <w:r w:rsidR="0088761D">
        <w:rPr>
          <w:rFonts w:ascii="Tahoma" w:hAnsi="Tahoma" w:cs="Tahoma"/>
          <w:b/>
          <w:bCs/>
        </w:rPr>
        <w:t xml:space="preserve"> в</w:t>
      </w:r>
      <w:r w:rsidR="00287169" w:rsidRPr="00951CC4">
        <w:rPr>
          <w:rFonts w:ascii="Tahoma" w:hAnsi="Tahoma" w:cs="Tahoma"/>
          <w:b/>
          <w:bCs/>
        </w:rPr>
        <w:t xml:space="preserve"> </w:t>
      </w:r>
      <w:r w:rsidR="0088761D">
        <w:rPr>
          <w:rFonts w:ascii="Tahoma" w:hAnsi="Tahoma" w:cs="Tahoma"/>
          <w:b/>
          <w:bCs/>
        </w:rPr>
        <w:t xml:space="preserve">рамках </w:t>
      </w:r>
      <w:r w:rsidR="00287169" w:rsidRPr="00951CC4">
        <w:rPr>
          <w:rFonts w:ascii="Tahoma" w:hAnsi="Tahoma" w:cs="Tahoma"/>
          <w:b/>
          <w:bCs/>
        </w:rPr>
        <w:t xml:space="preserve">импортозамещения, </w:t>
      </w:r>
      <w:r w:rsidR="00951CC4" w:rsidRPr="00951CC4">
        <w:rPr>
          <w:rFonts w:ascii="Tahoma" w:hAnsi="Tahoma" w:cs="Tahoma"/>
          <w:b/>
          <w:bCs/>
        </w:rPr>
        <w:t>выполнение работ</w:t>
      </w:r>
      <w:r w:rsidR="00287169" w:rsidRPr="00951CC4">
        <w:rPr>
          <w:rFonts w:ascii="Tahoma" w:hAnsi="Tahoma" w:cs="Tahoma"/>
          <w:b/>
          <w:bCs/>
        </w:rPr>
        <w:t xml:space="preserve"> по установке и начальной настройке поставляемого оборудования и ПО</w:t>
      </w:r>
      <w:r w:rsidR="00961F82" w:rsidRPr="00961F82">
        <w:rPr>
          <w:rFonts w:ascii="Tahoma" w:hAnsi="Tahoma" w:cs="Tahoma"/>
          <w:b/>
          <w:bCs/>
        </w:rPr>
        <w:t xml:space="preserve">, </w:t>
      </w:r>
      <w:r w:rsidR="00961F82" w:rsidRPr="00951CC4">
        <w:rPr>
          <w:rFonts w:ascii="Tahoma" w:hAnsi="Tahoma" w:cs="Tahoma"/>
          <w:b/>
          <w:bCs/>
        </w:rPr>
        <w:t>для нужд «Азиатско-Тихоокеанский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Номер контактного телефона: +7 (4162) </w:t>
            </w:r>
            <w:r>
              <w:rPr>
                <w:rFonts w:ascii="Tahoma" w:hAnsi="Tahoma" w:cs="Tahoma"/>
                <w:iCs/>
              </w:rPr>
              <w:t>22-43-88</w:t>
            </w:r>
            <w:r w:rsidRPr="00B6334E">
              <w:rPr>
                <w:rFonts w:ascii="Tahoma" w:hAnsi="Tahoma" w:cs="Tahoma"/>
                <w:iCs/>
              </w:rPr>
              <w:t>, 22-45-31</w:t>
            </w:r>
          </w:p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Контактное лицо: Литвинцева Олеся Александровна.</w:t>
            </w:r>
          </w:p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3F071A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961F82" w:rsidRPr="00767B15" w:rsidTr="006E526D">
        <w:trPr>
          <w:trHeight w:val="56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961F82" w:rsidRPr="00CE3188" w:rsidRDefault="00961F82" w:rsidP="004871A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CE3188">
              <w:rPr>
                <w:rFonts w:ascii="Tahoma" w:hAnsi="Tahoma" w:cs="Tahoma"/>
                <w:bCs/>
              </w:rPr>
              <w:t xml:space="preserve">Поставка </w:t>
            </w:r>
            <w:r w:rsidR="0088761D" w:rsidRPr="0088761D">
              <w:rPr>
                <w:rFonts w:ascii="Tahoma" w:hAnsi="Tahoma" w:cs="Tahoma"/>
                <w:bCs/>
                <w:iCs/>
              </w:rPr>
              <w:t>оборудования и программного обеспечения (далее – ПО) для организации сети WIFI в рамках импортозамещения, выполнение работ по установке и начальной настройке поставляемого оборудования и ПО, для нужд «Азиатско-Тихоокеанский Банк» (АО)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8"/>
                  <w:rFonts w:ascii="Tahoma" w:hAnsi="Tahoma" w:cs="Tahoma"/>
                </w:rPr>
                <w:t>https://etprf.ru/</w:t>
              </w:r>
            </w:hyperlink>
          </w:p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961F82" w:rsidRPr="00B6334E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961F82" w:rsidRPr="00767B15" w:rsidTr="00B84777">
        <w:trPr>
          <w:trHeight w:val="589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EF06A6" w:rsidRDefault="00EF06A6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Место поставки, </w:t>
            </w:r>
            <w:r w:rsidRPr="00EF06A6">
              <w:rPr>
                <w:rFonts w:ascii="Tahoma" w:hAnsi="Tahoma" w:cs="Tahoma"/>
                <w:bCs/>
              </w:rPr>
              <w:t>установки</w:t>
            </w:r>
            <w:r>
              <w:rPr>
                <w:rFonts w:ascii="Tahoma" w:hAnsi="Tahoma" w:cs="Tahoma"/>
                <w:bCs/>
              </w:rPr>
              <w:t xml:space="preserve"> и начальной настройки</w:t>
            </w:r>
            <w:r w:rsidRPr="00EF06A6">
              <w:rPr>
                <w:rFonts w:ascii="Tahoma" w:hAnsi="Tahoma" w:cs="Tahoma"/>
                <w:bCs/>
              </w:rPr>
              <w:t xml:space="preserve"> поставляемого оборудования и ПО: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:rsidR="00EF06A6" w:rsidRDefault="00EF06A6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F06A6">
              <w:rPr>
                <w:rFonts w:ascii="Tahoma" w:hAnsi="Tahoma" w:cs="Tahoma"/>
                <w:bCs/>
              </w:rPr>
              <w:t>Амурская область, г. Благовещенск, ул. Амурская,</w:t>
            </w:r>
            <w:r>
              <w:rPr>
                <w:rFonts w:ascii="Tahoma" w:hAnsi="Tahoma" w:cs="Tahoma"/>
                <w:bCs/>
              </w:rPr>
              <w:t xml:space="preserve"> д.</w:t>
            </w:r>
            <w:r w:rsidRPr="00EF06A6">
              <w:rPr>
                <w:rFonts w:ascii="Tahoma" w:hAnsi="Tahoma" w:cs="Tahoma"/>
                <w:bCs/>
              </w:rPr>
              <w:t xml:space="preserve"> 225</w:t>
            </w:r>
            <w:r>
              <w:rPr>
                <w:rFonts w:ascii="Tahoma" w:hAnsi="Tahoma" w:cs="Tahoma"/>
                <w:bCs/>
              </w:rPr>
              <w:t>;</w:t>
            </w:r>
          </w:p>
          <w:p w:rsidR="00EF06A6" w:rsidRDefault="00EF06A6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F06A6">
              <w:rPr>
                <w:rFonts w:ascii="Tahoma" w:hAnsi="Tahoma" w:cs="Tahoma"/>
                <w:bCs/>
              </w:rPr>
              <w:t>Амурская область,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F06A6">
              <w:rPr>
                <w:rFonts w:ascii="Tahoma" w:hAnsi="Tahoma" w:cs="Tahoma"/>
                <w:bCs/>
              </w:rPr>
              <w:t xml:space="preserve">г. Белогорск, ул. 9 Мая, </w:t>
            </w:r>
            <w:r>
              <w:rPr>
                <w:rFonts w:ascii="Tahoma" w:hAnsi="Tahoma" w:cs="Tahoma"/>
                <w:bCs/>
              </w:rPr>
              <w:t xml:space="preserve">д. </w:t>
            </w:r>
            <w:r w:rsidRPr="00EF06A6">
              <w:rPr>
                <w:rFonts w:ascii="Tahoma" w:hAnsi="Tahoma" w:cs="Tahoma"/>
                <w:bCs/>
              </w:rPr>
              <w:t>210А</w:t>
            </w:r>
            <w:r w:rsidR="0088761D">
              <w:rPr>
                <w:rFonts w:ascii="Tahoma" w:hAnsi="Tahoma" w:cs="Tahoma"/>
                <w:bCs/>
              </w:rPr>
              <w:t>;</w:t>
            </w:r>
          </w:p>
          <w:p w:rsidR="0088761D" w:rsidRDefault="0088761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8761D">
              <w:rPr>
                <w:rFonts w:ascii="Tahoma" w:hAnsi="Tahoma" w:cs="Tahoma"/>
                <w:bCs/>
              </w:rPr>
              <w:t xml:space="preserve">г. Москва, </w:t>
            </w:r>
            <w:r>
              <w:rPr>
                <w:rFonts w:ascii="Tahoma" w:hAnsi="Tahoma" w:cs="Tahoma"/>
                <w:bCs/>
              </w:rPr>
              <w:t>Серебрянническая набережная, д.</w:t>
            </w:r>
            <w:r w:rsidRPr="0088761D">
              <w:rPr>
                <w:rFonts w:ascii="Tahoma" w:hAnsi="Tahoma" w:cs="Tahoma"/>
                <w:bCs/>
              </w:rPr>
              <w:t xml:space="preserve"> 29, блок Б, 4 этаж</w:t>
            </w:r>
            <w:r>
              <w:rPr>
                <w:rFonts w:ascii="Tahoma" w:hAnsi="Tahoma" w:cs="Tahoma"/>
                <w:bCs/>
              </w:rPr>
              <w:t>.</w:t>
            </w:r>
          </w:p>
          <w:p w:rsidR="00E27CAD" w:rsidRPr="00EF06A6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712C9">
              <w:rPr>
                <w:rFonts w:ascii="Tahoma" w:hAnsi="Tahoma" w:cs="Tahoma"/>
                <w:bCs/>
              </w:rPr>
              <w:t>Работы</w:t>
            </w:r>
            <w:r>
              <w:rPr>
                <w:rFonts w:ascii="Tahoma" w:hAnsi="Tahoma" w:cs="Tahoma"/>
                <w:bCs/>
              </w:rPr>
              <w:t xml:space="preserve"> по технической поддержке</w:t>
            </w:r>
            <w:r w:rsidRPr="005712C9">
              <w:rPr>
                <w:rFonts w:ascii="Tahoma" w:hAnsi="Tahoma" w:cs="Tahoma"/>
                <w:bCs/>
              </w:rPr>
              <w:t xml:space="preserve"> могут проводится как удалённо, так и на территории Заказчика</w:t>
            </w:r>
            <w:r>
              <w:rPr>
                <w:rFonts w:ascii="Tahoma" w:hAnsi="Tahoma" w:cs="Tahoma"/>
                <w:bCs/>
              </w:rPr>
              <w:t>.</w:t>
            </w:r>
          </w:p>
        </w:tc>
      </w:tr>
      <w:tr w:rsidR="00961F82" w:rsidRPr="00767B15" w:rsidTr="00E31E07">
        <w:trPr>
          <w:trHeight w:val="416"/>
        </w:trPr>
        <w:tc>
          <w:tcPr>
            <w:tcW w:w="1966" w:type="pct"/>
          </w:tcPr>
          <w:p w:rsidR="00961F82" w:rsidRPr="00292D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273CF9">
              <w:rPr>
                <w:rFonts w:ascii="Tahoma" w:hAnsi="Tahoma" w:cs="Tahoma"/>
                <w:bCs/>
                <w:color w:val="000000"/>
              </w:rPr>
              <w:t xml:space="preserve">Срок действия лицензии (права использования): </w:t>
            </w:r>
            <w:r w:rsidR="0088761D">
              <w:rPr>
                <w:rFonts w:ascii="Tahoma" w:hAnsi="Tahoma" w:cs="Tahoma"/>
                <w:bCs/>
                <w:color w:val="000000"/>
              </w:rPr>
              <w:t>60 (Шестьдесят) месяцев</w:t>
            </w:r>
            <w:r>
              <w:rPr>
                <w:rFonts w:ascii="Tahoma" w:hAnsi="Tahoma" w:cs="Tahoma"/>
                <w:bCs/>
                <w:color w:val="000000"/>
              </w:rPr>
              <w:t>.</w:t>
            </w:r>
          </w:p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Срок</w:t>
            </w:r>
            <w:r w:rsidRPr="00AB3EBA">
              <w:rPr>
                <w:rFonts w:ascii="Tahoma" w:hAnsi="Tahoma" w:cs="Tahoma"/>
                <w:color w:val="000000"/>
              </w:rPr>
              <w:t xml:space="preserve"> </w:t>
            </w:r>
            <w:r w:rsidR="00E27CAD">
              <w:rPr>
                <w:rFonts w:ascii="Tahoma" w:hAnsi="Tahoma" w:cs="Tahoma"/>
                <w:color w:val="000000"/>
              </w:rPr>
              <w:t>поставки</w:t>
            </w:r>
            <w:r>
              <w:rPr>
                <w:rFonts w:ascii="Tahoma" w:hAnsi="Tahoma" w:cs="Tahoma"/>
                <w:color w:val="000000"/>
              </w:rPr>
              <w:t xml:space="preserve">: </w:t>
            </w:r>
            <w:r w:rsidRPr="00CF4938">
              <w:rPr>
                <w:rFonts w:ascii="Tahoma" w:hAnsi="Tahoma" w:cs="Tahoma"/>
                <w:iCs/>
                <w:color w:val="000000"/>
              </w:rPr>
              <w:t xml:space="preserve">в течение </w:t>
            </w:r>
            <w:r w:rsidR="00E27CAD">
              <w:rPr>
                <w:rFonts w:ascii="Tahoma" w:hAnsi="Tahoma" w:cs="Tahoma"/>
                <w:iCs/>
                <w:color w:val="000000"/>
              </w:rPr>
              <w:t xml:space="preserve">60 </w:t>
            </w:r>
            <w:r>
              <w:rPr>
                <w:rFonts w:ascii="Tahoma" w:hAnsi="Tahoma" w:cs="Tahoma"/>
                <w:iCs/>
                <w:color w:val="000000"/>
              </w:rPr>
              <w:t>(</w:t>
            </w:r>
            <w:r w:rsidR="00E27CAD">
              <w:rPr>
                <w:rFonts w:ascii="Tahoma" w:hAnsi="Tahoma" w:cs="Tahoma"/>
                <w:iCs/>
                <w:color w:val="000000"/>
              </w:rPr>
              <w:t>Шестидесяти</w:t>
            </w:r>
            <w:r>
              <w:rPr>
                <w:rFonts w:ascii="Tahoma" w:hAnsi="Tahoma" w:cs="Tahoma"/>
                <w:iCs/>
                <w:color w:val="000000"/>
              </w:rPr>
              <w:t xml:space="preserve">) </w:t>
            </w:r>
            <w:r w:rsidR="00E27CAD">
              <w:rPr>
                <w:rFonts w:ascii="Tahoma" w:hAnsi="Tahoma" w:cs="Tahoma"/>
                <w:iCs/>
                <w:color w:val="000000"/>
              </w:rPr>
              <w:t>календарных</w:t>
            </w:r>
            <w:r w:rsidRPr="00CF4938">
              <w:rPr>
                <w:rFonts w:ascii="Tahoma" w:hAnsi="Tahoma" w:cs="Tahoma"/>
                <w:iCs/>
                <w:color w:val="000000"/>
              </w:rPr>
              <w:t xml:space="preserve"> дней с даты зачисления предварительной оплаты на расчетный счет </w:t>
            </w:r>
            <w:r>
              <w:rPr>
                <w:rFonts w:ascii="Tahoma" w:hAnsi="Tahoma" w:cs="Tahoma"/>
                <w:iCs/>
                <w:color w:val="000000"/>
              </w:rPr>
              <w:t>Исполнителя</w:t>
            </w:r>
            <w:r w:rsidRPr="00AB3EBA">
              <w:rPr>
                <w:rFonts w:ascii="Tahoma" w:hAnsi="Tahoma" w:cs="Tahoma"/>
                <w:color w:val="000000"/>
              </w:rPr>
              <w:t xml:space="preserve">. </w:t>
            </w:r>
          </w:p>
          <w:p w:rsidR="00E27CAD" w:rsidRPr="00AB3EBA" w:rsidRDefault="00EF06A6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Срок</w:t>
            </w:r>
            <w:r w:rsidRPr="00AB3EBA">
              <w:rPr>
                <w:rFonts w:ascii="Tahoma" w:hAnsi="Tahoma" w:cs="Tahoma"/>
                <w:color w:val="000000"/>
              </w:rPr>
              <w:t xml:space="preserve"> </w:t>
            </w:r>
            <w:r w:rsidRPr="00EF06A6">
              <w:rPr>
                <w:rFonts w:ascii="Tahoma" w:hAnsi="Tahoma" w:cs="Tahoma"/>
                <w:bCs/>
              </w:rPr>
              <w:t>установки</w:t>
            </w:r>
            <w:r>
              <w:rPr>
                <w:rFonts w:ascii="Tahoma" w:hAnsi="Tahoma" w:cs="Tahoma"/>
                <w:bCs/>
              </w:rPr>
              <w:t xml:space="preserve"> и начальной настройк</w:t>
            </w:r>
            <w:r w:rsidR="004871A9">
              <w:rPr>
                <w:rFonts w:ascii="Tahoma" w:hAnsi="Tahoma" w:cs="Tahoma"/>
                <w:bCs/>
              </w:rPr>
              <w:t>е</w:t>
            </w:r>
            <w:r w:rsidRPr="00EF06A6">
              <w:rPr>
                <w:rFonts w:ascii="Tahoma" w:hAnsi="Tahoma" w:cs="Tahoma"/>
                <w:bCs/>
              </w:rPr>
              <w:t xml:space="preserve"> поставляемого оборудования и ПО</w:t>
            </w:r>
            <w:r w:rsidR="00E27CAD">
              <w:rPr>
                <w:rFonts w:ascii="Tahoma" w:hAnsi="Tahoma" w:cs="Tahoma"/>
                <w:color w:val="000000"/>
              </w:rPr>
              <w:t xml:space="preserve">: в течение </w:t>
            </w:r>
            <w:r w:rsidR="00E27CAD">
              <w:rPr>
                <w:rFonts w:ascii="Tahoma" w:hAnsi="Tahoma" w:cs="Tahoma"/>
                <w:iCs/>
                <w:color w:val="000000"/>
              </w:rPr>
              <w:t>7 (Семи) календарных</w:t>
            </w:r>
            <w:r w:rsidR="00E27CAD" w:rsidRPr="00CF4938">
              <w:rPr>
                <w:rFonts w:ascii="Tahoma" w:hAnsi="Tahoma" w:cs="Tahoma"/>
                <w:iCs/>
                <w:color w:val="000000"/>
              </w:rPr>
              <w:t xml:space="preserve"> дней с даты</w:t>
            </w:r>
            <w:r w:rsidR="00E27CAD">
              <w:rPr>
                <w:rFonts w:ascii="Tahoma" w:hAnsi="Tahoma" w:cs="Tahoma"/>
                <w:iCs/>
                <w:color w:val="000000"/>
              </w:rPr>
              <w:t xml:space="preserve"> поставки</w:t>
            </w:r>
            <w:r w:rsidR="008F6FDA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8F6FDA" w:rsidRPr="004871A9">
              <w:rPr>
                <w:rFonts w:ascii="Tahoma" w:hAnsi="Tahoma" w:cs="Tahoma"/>
                <w:iCs/>
                <w:color w:val="000000"/>
              </w:rPr>
              <w:t>или в иное время</w:t>
            </w:r>
            <w:r w:rsidR="008F6FDA">
              <w:rPr>
                <w:rFonts w:ascii="Tahoma" w:hAnsi="Tahoma" w:cs="Tahoma"/>
                <w:iCs/>
                <w:color w:val="000000"/>
              </w:rPr>
              <w:t>,</w:t>
            </w:r>
            <w:r w:rsidR="008F6FDA" w:rsidRPr="004871A9">
              <w:rPr>
                <w:rFonts w:ascii="Tahoma" w:hAnsi="Tahoma" w:cs="Tahoma"/>
                <w:iCs/>
                <w:color w:val="000000"/>
              </w:rPr>
              <w:t xml:space="preserve"> согласован</w:t>
            </w:r>
            <w:r w:rsidR="008F6FDA">
              <w:rPr>
                <w:rFonts w:ascii="Tahoma" w:hAnsi="Tahoma" w:cs="Tahoma"/>
                <w:iCs/>
                <w:color w:val="000000"/>
              </w:rPr>
              <w:t>ное</w:t>
            </w:r>
            <w:r w:rsidR="008F6FDA" w:rsidRPr="004871A9">
              <w:rPr>
                <w:rFonts w:ascii="Tahoma" w:hAnsi="Tahoma" w:cs="Tahoma"/>
                <w:iCs/>
                <w:color w:val="000000"/>
              </w:rPr>
              <w:t xml:space="preserve"> с Заказчиком</w:t>
            </w:r>
            <w:r w:rsidR="00E27CAD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B3EBA">
              <w:rPr>
                <w:rFonts w:ascii="Tahoma" w:hAnsi="Tahoma" w:cs="Tahoma"/>
                <w:color w:val="000000"/>
              </w:rPr>
              <w:t xml:space="preserve">Срок </w:t>
            </w:r>
            <w:r>
              <w:rPr>
                <w:rFonts w:ascii="Tahoma" w:hAnsi="Tahoma" w:cs="Tahoma"/>
                <w:color w:val="000000"/>
              </w:rPr>
              <w:t xml:space="preserve">технической поддержки: </w:t>
            </w:r>
            <w:r w:rsidR="0088761D">
              <w:rPr>
                <w:rFonts w:ascii="Tahoma" w:hAnsi="Tahoma" w:cs="Tahoma"/>
                <w:color w:val="000000"/>
              </w:rPr>
              <w:t>36</w:t>
            </w:r>
            <w:r>
              <w:rPr>
                <w:rFonts w:ascii="Tahoma" w:hAnsi="Tahoma" w:cs="Tahoma"/>
                <w:color w:val="000000"/>
              </w:rPr>
              <w:t xml:space="preserve"> (</w:t>
            </w:r>
            <w:r w:rsidR="0088761D">
              <w:rPr>
                <w:rFonts w:ascii="Tahoma" w:hAnsi="Tahoma" w:cs="Tahoma"/>
                <w:color w:val="000000"/>
              </w:rPr>
              <w:t>Тридцать шесть</w:t>
            </w:r>
            <w:r>
              <w:rPr>
                <w:rFonts w:ascii="Tahoma" w:hAnsi="Tahoma" w:cs="Tahoma"/>
                <w:color w:val="000000"/>
              </w:rPr>
              <w:t xml:space="preserve">) месяцев с даты </w:t>
            </w:r>
            <w:r w:rsidR="00EF06A6">
              <w:rPr>
                <w:rFonts w:ascii="Tahoma" w:hAnsi="Tahoma" w:cs="Tahoma"/>
                <w:color w:val="000000"/>
              </w:rPr>
              <w:t>установки</w:t>
            </w:r>
            <w:r w:rsidR="004871A9">
              <w:rPr>
                <w:rFonts w:ascii="Tahoma" w:hAnsi="Tahoma" w:cs="Tahoma"/>
                <w:color w:val="000000"/>
              </w:rPr>
              <w:t xml:space="preserve"> </w:t>
            </w:r>
            <w:r w:rsidR="00F17FF0">
              <w:rPr>
                <w:rFonts w:ascii="Tahoma" w:hAnsi="Tahoma" w:cs="Tahoma"/>
                <w:color w:val="000000"/>
              </w:rPr>
              <w:t>и начальной настройки</w:t>
            </w:r>
            <w:r w:rsidR="004871A9" w:rsidRPr="004871A9">
              <w:rPr>
                <w:rFonts w:ascii="Tahoma" w:hAnsi="Tahoma" w:cs="Tahoma"/>
                <w:color w:val="000000"/>
              </w:rPr>
              <w:t xml:space="preserve"> ПО</w:t>
            </w:r>
            <w:r w:rsidRPr="00AB3EBA">
              <w:rPr>
                <w:rFonts w:ascii="Tahoma" w:hAnsi="Tahoma" w:cs="Tahoma"/>
                <w:color w:val="000000"/>
              </w:rPr>
              <w:t>.</w:t>
            </w:r>
          </w:p>
          <w:p w:rsidR="0088761D" w:rsidRDefault="0088761D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B3EBA">
              <w:rPr>
                <w:rFonts w:ascii="Tahoma" w:hAnsi="Tahoma" w:cs="Tahoma"/>
                <w:color w:val="000000"/>
              </w:rPr>
              <w:t xml:space="preserve">Срок </w:t>
            </w:r>
            <w:r w:rsidRPr="0088761D">
              <w:rPr>
                <w:rFonts w:ascii="Tahoma" w:hAnsi="Tahoma" w:cs="Tahoma"/>
                <w:color w:val="000000"/>
              </w:rPr>
              <w:t>оказани</w:t>
            </w:r>
            <w:r>
              <w:rPr>
                <w:rFonts w:ascii="Tahoma" w:hAnsi="Tahoma" w:cs="Tahoma"/>
                <w:color w:val="000000"/>
              </w:rPr>
              <w:t>я</w:t>
            </w:r>
            <w:r w:rsidRPr="0088761D">
              <w:rPr>
                <w:rFonts w:ascii="Tahoma" w:hAnsi="Tahoma" w:cs="Tahoma"/>
                <w:color w:val="000000"/>
              </w:rPr>
              <w:t xml:space="preserve"> консультационных услуг по вопросам эксплуатации оборудования</w:t>
            </w:r>
            <w:r>
              <w:rPr>
                <w:rFonts w:ascii="Tahoma" w:hAnsi="Tahoma" w:cs="Tahoma"/>
                <w:color w:val="000000"/>
              </w:rPr>
              <w:t>: 36 (Тридцать шесть) месяцев с даты установки и начальной настройки</w:t>
            </w:r>
            <w:r w:rsidRPr="004871A9">
              <w:rPr>
                <w:rFonts w:ascii="Tahoma" w:hAnsi="Tahoma" w:cs="Tahoma"/>
                <w:color w:val="000000"/>
              </w:rPr>
              <w:t xml:space="preserve"> ПО</w:t>
            </w:r>
            <w:r w:rsidRPr="00AB3EBA">
              <w:rPr>
                <w:rFonts w:ascii="Tahoma" w:hAnsi="Tahoma" w:cs="Tahoma"/>
                <w:color w:val="000000"/>
              </w:rPr>
              <w:t>.</w:t>
            </w:r>
          </w:p>
          <w:p w:rsidR="007D3BB7" w:rsidRDefault="007D3BB7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D3BB7">
              <w:rPr>
                <w:rFonts w:ascii="Tahoma" w:hAnsi="Tahoma" w:cs="Tahoma"/>
                <w:color w:val="000000"/>
              </w:rPr>
              <w:t>Гарантийные обязательства Исполнителя:</w:t>
            </w:r>
            <w:r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BB4227">
              <w:rPr>
                <w:rFonts w:ascii="Tahoma" w:hAnsi="Tahoma" w:cs="Tahoma"/>
                <w:color w:val="000000"/>
              </w:rPr>
              <w:t xml:space="preserve">Гарантийный срок на </w:t>
            </w:r>
            <w:r>
              <w:rPr>
                <w:rFonts w:ascii="Tahoma" w:hAnsi="Tahoma" w:cs="Tahoma"/>
                <w:color w:val="000000"/>
              </w:rPr>
              <w:t>оборудование</w:t>
            </w:r>
            <w:r w:rsidRPr="00BB4227">
              <w:rPr>
                <w:rFonts w:ascii="Tahoma" w:hAnsi="Tahoma" w:cs="Tahoma"/>
                <w:color w:val="000000"/>
              </w:rPr>
              <w:t xml:space="preserve"> должен быть </w:t>
            </w:r>
            <w:r w:rsidRPr="00BB4227">
              <w:rPr>
                <w:rFonts w:ascii="Tahoma" w:hAnsi="Tahoma" w:cs="Tahoma"/>
                <w:iCs/>
                <w:color w:val="000000"/>
              </w:rPr>
              <w:t>не менее</w:t>
            </w:r>
            <w:r w:rsidRPr="00BB4227">
              <w:rPr>
                <w:rFonts w:ascii="Tahoma" w:hAnsi="Tahoma" w:cs="Tahoma"/>
                <w:b/>
                <w:iCs/>
                <w:color w:val="000000"/>
              </w:rPr>
              <w:t xml:space="preserve"> </w:t>
            </w:r>
            <w:r w:rsidR="0088761D">
              <w:rPr>
                <w:rFonts w:ascii="Tahoma" w:hAnsi="Tahoma" w:cs="Tahoma"/>
                <w:iCs/>
                <w:color w:val="000000"/>
              </w:rPr>
              <w:t>36 (Тридцати шести)</w:t>
            </w:r>
            <w:r w:rsidRPr="00BB4227">
              <w:rPr>
                <w:rFonts w:ascii="Tahoma" w:hAnsi="Tahoma" w:cs="Tahoma"/>
                <w:iCs/>
                <w:color w:val="000000"/>
              </w:rPr>
              <w:t xml:space="preserve"> месяцев с даты подписания Сторонами акта приема-передачи </w:t>
            </w:r>
            <w:r w:rsidR="007A4177" w:rsidRPr="006B43B4">
              <w:rPr>
                <w:rFonts w:ascii="Tahoma" w:hAnsi="Tahoma" w:cs="Tahoma"/>
                <w:iCs/>
              </w:rPr>
              <w:t>оказанных Услуг</w:t>
            </w:r>
            <w:r w:rsidR="007A4177">
              <w:rPr>
                <w:rFonts w:ascii="Tahoma" w:hAnsi="Tahoma" w:cs="Tahoma"/>
                <w:iCs/>
              </w:rPr>
              <w:t xml:space="preserve"> по монтажу оборудования</w:t>
            </w:r>
            <w:r w:rsidRPr="00BB4227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BB4227">
              <w:rPr>
                <w:rFonts w:ascii="Tahoma" w:hAnsi="Tahoma" w:cs="Tahoma"/>
                <w:color w:val="000000"/>
              </w:rPr>
              <w:t>и не менее гарантийного срока, установленного Производителем</w:t>
            </w:r>
            <w:r w:rsidRPr="006703F0">
              <w:rPr>
                <w:rFonts w:ascii="Tahoma" w:hAnsi="Tahoma" w:cs="Tahoma"/>
                <w:color w:val="000000"/>
              </w:rPr>
              <w:t>.</w:t>
            </w:r>
          </w:p>
          <w:p w:rsidR="00961F82" w:rsidRPr="00AB3EBA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211752">
              <w:rPr>
                <w:rFonts w:ascii="Tahoma" w:hAnsi="Tahoma" w:cs="Tahoma"/>
                <w:color w:val="000000"/>
              </w:rPr>
              <w:lastRenderedPageBreak/>
              <w:t>Возможна пролонгация заключенного Договора с Исполнителем, при отсутствии нарушений Исполнителем условий Договора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961F82" w:rsidRPr="00767B15" w:rsidTr="00E36AFE">
        <w:trPr>
          <w:trHeight w:val="41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961F82" w:rsidRPr="007F23BD" w:rsidRDefault="00961F82" w:rsidP="00591E1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4F6C8F">
              <w:rPr>
                <w:rFonts w:ascii="Tahoma" w:hAnsi="Tahoma" w:cs="Tahoma"/>
              </w:rPr>
              <w:t xml:space="preserve">Цена </w:t>
            </w:r>
            <w:r w:rsidRPr="006E2C84">
              <w:rPr>
                <w:rFonts w:ascii="Tahoma" w:hAnsi="Tahoma" w:cs="Tahoma"/>
              </w:rPr>
              <w:t xml:space="preserve">Договора должна включать в себя стоимость </w:t>
            </w:r>
            <w:r w:rsidR="007D3BB7">
              <w:rPr>
                <w:rFonts w:ascii="Tahoma" w:hAnsi="Tahoma" w:cs="Tahoma"/>
              </w:rPr>
              <w:t xml:space="preserve">оборудования, </w:t>
            </w:r>
            <w:r w:rsidRPr="006E2C84">
              <w:rPr>
                <w:rFonts w:ascii="Tahoma" w:hAnsi="Tahoma" w:cs="Tahoma"/>
              </w:rPr>
              <w:t xml:space="preserve">лицензий, </w:t>
            </w:r>
            <w:r w:rsidR="00591E19">
              <w:rPr>
                <w:rFonts w:ascii="Tahoma" w:hAnsi="Tahoma" w:cs="Tahoma"/>
              </w:rPr>
              <w:t xml:space="preserve">установки, </w:t>
            </w:r>
            <w:r w:rsidR="00591E19">
              <w:rPr>
                <w:rFonts w:ascii="Tahoma" w:hAnsi="Tahoma" w:cs="Tahoma"/>
                <w:bCs/>
              </w:rPr>
              <w:t>начальной настройки,</w:t>
            </w:r>
            <w:r w:rsidR="00591E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технической </w:t>
            </w:r>
            <w:r w:rsidRPr="006E2C84">
              <w:rPr>
                <w:rFonts w:ascii="Tahoma" w:hAnsi="Tahoma" w:cs="Tahoma"/>
              </w:rPr>
              <w:t>поддержк</w:t>
            </w:r>
            <w:r>
              <w:rPr>
                <w:rFonts w:ascii="Tahoma" w:hAnsi="Tahoma" w:cs="Tahoma"/>
              </w:rPr>
              <w:t>и</w:t>
            </w:r>
            <w:r w:rsidRPr="006E2C84">
              <w:rPr>
                <w:rFonts w:ascii="Tahoma" w:hAnsi="Tahoma" w:cs="Tahoma"/>
              </w:rPr>
              <w:t xml:space="preserve">, 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>упаковки (тары), маркировки, доставк</w:t>
            </w:r>
            <w:r w:rsidR="007D3BB7">
              <w:rPr>
                <w:rFonts w:ascii="Tahoma" w:hAnsi="Tahoma" w:cs="Tahoma"/>
                <w:iCs/>
                <w:color w:val="000000"/>
              </w:rPr>
              <w:t>и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>, подъем</w:t>
            </w:r>
            <w:r w:rsidR="007D3BB7">
              <w:rPr>
                <w:rFonts w:ascii="Tahoma" w:hAnsi="Tahoma" w:cs="Tahoma"/>
                <w:iCs/>
                <w:color w:val="000000"/>
              </w:rPr>
              <w:t>а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7D3BB7">
              <w:rPr>
                <w:rFonts w:ascii="Tahoma" w:hAnsi="Tahoma" w:cs="Tahoma"/>
                <w:iCs/>
                <w:color w:val="000000"/>
              </w:rPr>
              <w:t>оборудования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 xml:space="preserve"> на этаж, погрузо-разгрузочно</w:t>
            </w:r>
            <w:r w:rsidR="00591E19">
              <w:rPr>
                <w:rFonts w:ascii="Tahoma" w:hAnsi="Tahoma" w:cs="Tahoma"/>
                <w:iCs/>
                <w:color w:val="000000"/>
              </w:rPr>
              <w:t>го сопровождения</w:t>
            </w:r>
            <w:r w:rsidR="007D3BB7">
              <w:rPr>
                <w:rFonts w:ascii="Tahoma" w:hAnsi="Tahoma" w:cs="Tahoma"/>
                <w:iCs/>
                <w:color w:val="000000"/>
              </w:rPr>
              <w:t xml:space="preserve">, 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>страхование, таможенные платежи (пошлины),</w:t>
            </w:r>
            <w:r w:rsidR="007D3BB7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6E2C84">
              <w:rPr>
                <w:rFonts w:ascii="Tahoma" w:hAnsi="Tahoma" w:cs="Tahoma"/>
              </w:rPr>
              <w:t>налоги, сборы</w:t>
            </w:r>
            <w:r w:rsidRPr="00F62161">
              <w:rPr>
                <w:rFonts w:ascii="Tahoma" w:hAnsi="Tahoma" w:cs="Tahoma"/>
                <w:iCs/>
                <w:color w:val="000000"/>
              </w:rPr>
              <w:t xml:space="preserve"> и другие обязательные платежи,</w:t>
            </w:r>
            <w:r w:rsidR="009359B1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9359B1" w:rsidRPr="008049A7">
              <w:rPr>
                <w:rFonts w:ascii="Tahoma" w:hAnsi="Tahoma" w:cs="Tahoma"/>
                <w:color w:val="000000"/>
              </w:rPr>
              <w:t>предусмотренные действующим законодательством</w:t>
            </w:r>
            <w:r w:rsidR="009359B1">
              <w:rPr>
                <w:rFonts w:ascii="Tahoma" w:hAnsi="Tahoma" w:cs="Tahoma"/>
                <w:color w:val="000000"/>
              </w:rPr>
              <w:t xml:space="preserve"> РФ,</w:t>
            </w:r>
            <w:bookmarkStart w:id="0" w:name="_GoBack"/>
            <w:bookmarkEnd w:id="0"/>
            <w:r w:rsidRPr="00F62161">
              <w:rPr>
                <w:rFonts w:ascii="Tahoma" w:hAnsi="Tahoma" w:cs="Tahoma"/>
                <w:iCs/>
                <w:color w:val="000000"/>
              </w:rPr>
              <w:t xml:space="preserve"> а также все затраты, издержки</w:t>
            </w:r>
            <w:r w:rsidRPr="004F6C8F">
              <w:rPr>
                <w:rFonts w:ascii="Tahoma" w:hAnsi="Tahoma" w:cs="Tahoma"/>
              </w:rPr>
              <w:t xml:space="preserve">, и иные расходы </w:t>
            </w:r>
            <w:r w:rsidR="007D3BB7">
              <w:rPr>
                <w:rFonts w:ascii="Tahoma" w:hAnsi="Tahoma" w:cs="Tahoma"/>
              </w:rPr>
              <w:t>Исполнителя</w:t>
            </w:r>
            <w:r w:rsidRPr="004F6C8F">
              <w:rPr>
                <w:rFonts w:ascii="Tahoma" w:hAnsi="Tahoma" w:cs="Tahoma"/>
              </w:rPr>
              <w:t>, связанные с исполнением им обязательств по Договору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</w:t>
            </w:r>
            <w:r w:rsidR="002C6688" w:rsidRPr="002C6688">
              <w:rPr>
                <w:rFonts w:ascii="Tahoma" w:hAnsi="Tahoma" w:cs="Tahoma"/>
              </w:rPr>
              <w:lastRenderedPageBreak/>
              <w:t>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 xml:space="preserve"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</w:t>
            </w:r>
            <w:r w:rsidRPr="00EB7647">
              <w:rPr>
                <w:rFonts w:ascii="Tahoma" w:hAnsi="Tahoma" w:cs="Tahoma"/>
              </w:rPr>
              <w:lastRenderedPageBreak/>
              <w:t>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862710" w:rsidRDefault="00862710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 xml:space="preserve">Дополнительные требования для отбора заявок: </w:t>
            </w:r>
          </w:p>
          <w:p w:rsidR="00961F82" w:rsidRPr="005C71F1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5C71F1">
              <w:rPr>
                <w:rFonts w:ascii="Tahoma" w:hAnsi="Tahoma" w:cs="Tahoma"/>
                <w:iCs/>
                <w:color w:val="000000"/>
              </w:rPr>
              <w:t>1. Участник должен являться авторизованным партнером Правообладателя решения, которое предлагается к поставке.</w:t>
            </w:r>
          </w:p>
          <w:p w:rsidR="00961F82" w:rsidRPr="005C71F1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C71F1">
              <w:rPr>
                <w:rFonts w:ascii="Tahoma" w:hAnsi="Tahoma" w:cs="Tahoma"/>
                <w:iCs/>
                <w:color w:val="000000"/>
              </w:rPr>
              <w:t xml:space="preserve">2. </w:t>
            </w:r>
            <w:r w:rsidRPr="005C71F1">
              <w:rPr>
                <w:rFonts w:ascii="Tahoma" w:hAnsi="Tahoma" w:cs="Tahoma"/>
              </w:rPr>
              <w:t xml:space="preserve">Наличие у </w:t>
            </w:r>
            <w:r w:rsidRPr="005C71F1">
              <w:rPr>
                <w:rFonts w:ascii="Tahoma" w:hAnsi="Tahoma" w:cs="Tahoma"/>
                <w:color w:val="000000"/>
              </w:rPr>
              <w:t>Участника</w:t>
            </w:r>
            <w:r w:rsidRPr="005C71F1">
              <w:rPr>
                <w:rFonts w:ascii="Tahoma" w:hAnsi="Tahoma" w:cs="Tahoma"/>
              </w:rPr>
              <w:t xml:space="preserve"> в штате </w:t>
            </w:r>
            <w:r w:rsidRPr="005C71F1">
              <w:rPr>
                <w:rFonts w:ascii="Tahoma" w:hAnsi="Tahoma" w:cs="Tahoma"/>
                <w:iCs/>
              </w:rPr>
              <w:t>не менее 2х сертифицированных инженеров по решению, которое он предлагает к поставке.</w:t>
            </w:r>
          </w:p>
          <w:p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600E58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>
              <w:rPr>
                <w:rFonts w:ascii="Tahoma" w:hAnsi="Tahoma" w:cs="Tahoma"/>
                <w:iCs/>
              </w:rPr>
              <w:t>ЭТП</w:t>
            </w:r>
          </w:p>
          <w:p w:rsidR="00CA6947" w:rsidRPr="00B35CBD" w:rsidRDefault="00C13637" w:rsidP="00AD59B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  <w:r w:rsidR="00AD59B2">
              <w:rPr>
                <w:rFonts w:ascii="Tahoma" w:hAnsi="Tahoma" w:cs="Tahoma"/>
                <w:iCs/>
              </w:rPr>
              <w:t>2</w:t>
            </w:r>
            <w:r w:rsidR="004871A9">
              <w:rPr>
                <w:rFonts w:ascii="Tahoma" w:hAnsi="Tahoma" w:cs="Tahoma"/>
                <w:iCs/>
              </w:rPr>
              <w:t>.1</w:t>
            </w:r>
            <w:r w:rsidR="00AD59B2">
              <w:rPr>
                <w:rFonts w:ascii="Tahoma" w:hAnsi="Tahoma" w:cs="Tahoma"/>
                <w:iCs/>
              </w:rPr>
              <w:t>1</w:t>
            </w:r>
            <w:r w:rsidR="00183EBE">
              <w:rPr>
                <w:rFonts w:ascii="Tahoma" w:hAnsi="Tahoma" w:cs="Tahoma"/>
                <w:iCs/>
              </w:rPr>
              <w:t>.</w:t>
            </w:r>
            <w:r w:rsidR="00183EBE" w:rsidRPr="00B35CBD">
              <w:rPr>
                <w:rFonts w:ascii="Tahoma" w:hAnsi="Tahoma" w:cs="Tahoma"/>
                <w:iCs/>
              </w:rPr>
              <w:t>202</w:t>
            </w:r>
            <w:r w:rsidR="00183EBE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5B6AEA" w:rsidRDefault="00AD59B2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19</w:t>
            </w:r>
            <w:r w:rsidR="004871A9">
              <w:rPr>
                <w:rFonts w:ascii="Tahoma" w:hAnsi="Tahoma" w:cs="Tahoma"/>
                <w:iCs/>
              </w:rPr>
              <w:t>.1</w:t>
            </w:r>
            <w:r>
              <w:rPr>
                <w:rFonts w:ascii="Tahoma" w:hAnsi="Tahoma" w:cs="Tahoma"/>
                <w:iCs/>
              </w:rPr>
              <w:t>1</w:t>
            </w:r>
            <w:r w:rsidR="00183EBE" w:rsidRPr="005B6AEA">
              <w:rPr>
                <w:rFonts w:ascii="Tahoma" w:hAnsi="Tahoma" w:cs="Tahoma"/>
                <w:iCs/>
              </w:rPr>
              <w:t>.2025, до 10:00 (время МСК)</w:t>
            </w:r>
          </w:p>
          <w:p w:rsidR="00CA6947" w:rsidRPr="005B6AEA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  <w:iCs/>
              </w:rPr>
              <w:t>Ба</w:t>
            </w:r>
            <w:r w:rsidR="0023373F" w:rsidRPr="005B6AEA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5B6AEA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5B6AEA" w:rsidRDefault="00AD59B2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27</w:t>
            </w:r>
            <w:r w:rsidR="004871A9">
              <w:rPr>
                <w:rFonts w:ascii="Tahoma" w:hAnsi="Tahoma" w:cs="Tahoma"/>
                <w:iCs/>
              </w:rPr>
              <w:t>.11</w:t>
            </w:r>
            <w:r w:rsidR="00183EBE" w:rsidRPr="005B6AEA">
              <w:rPr>
                <w:rFonts w:ascii="Tahoma" w:hAnsi="Tahoma" w:cs="Tahoma"/>
                <w:iCs/>
              </w:rPr>
              <w:t>.2025, до 18:00 часов (время МСК)</w:t>
            </w:r>
          </w:p>
          <w:p w:rsidR="00CA6947" w:rsidRPr="005B6AEA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5B6AEA">
              <w:rPr>
                <w:rFonts w:ascii="Tahoma" w:hAnsi="Tahoma" w:cs="Tahoma"/>
              </w:rPr>
              <w:t>З</w:t>
            </w:r>
            <w:r w:rsidRPr="005B6AEA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961F82" w:rsidRPr="00767B15" w:rsidTr="00B84777">
        <w:trPr>
          <w:trHeight w:val="55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Порядок расчетов </w:t>
            </w:r>
          </w:p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по договору</w:t>
            </w:r>
          </w:p>
        </w:tc>
        <w:tc>
          <w:tcPr>
            <w:tcW w:w="3034" w:type="pct"/>
          </w:tcPr>
          <w:p w:rsidR="00961F82" w:rsidRDefault="00961F82" w:rsidP="00961F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3864">
              <w:rPr>
                <w:rFonts w:ascii="Tahoma" w:hAnsi="Tahoma" w:cs="Tahoma"/>
                <w:iCs/>
              </w:rPr>
              <w:t>Оплата производится на</w:t>
            </w:r>
            <w:r w:rsidR="00591E19">
              <w:rPr>
                <w:rFonts w:ascii="Tahoma" w:hAnsi="Tahoma" w:cs="Tahoma"/>
                <w:iCs/>
              </w:rPr>
              <w:t xml:space="preserve"> условиях предоплаты в размере 5</w:t>
            </w:r>
            <w:r w:rsidRPr="00613864">
              <w:rPr>
                <w:rFonts w:ascii="Tahoma" w:hAnsi="Tahoma" w:cs="Tahoma"/>
                <w:iCs/>
              </w:rPr>
              <w:t xml:space="preserve">0 %, на основании полученного Заказчиком счета на предоплату, выставленного </w:t>
            </w:r>
            <w:r w:rsidRPr="006B43B4">
              <w:rPr>
                <w:rFonts w:ascii="Tahoma" w:hAnsi="Tahoma" w:cs="Tahoma"/>
                <w:iCs/>
              </w:rPr>
              <w:t>Исполнителем</w:t>
            </w:r>
            <w:r w:rsidRPr="00613864">
              <w:rPr>
                <w:rFonts w:ascii="Tahoma" w:hAnsi="Tahoma" w:cs="Tahoma"/>
                <w:iCs/>
              </w:rPr>
              <w:t xml:space="preserve">, путём перечисления денежных средств, в течение 10 (десяти) календарных дней с даты получения счета Заказчиком, на расчётный счёт </w:t>
            </w:r>
            <w:r w:rsidRPr="00C7600B">
              <w:rPr>
                <w:rFonts w:ascii="Tahoma" w:hAnsi="Tahoma" w:cs="Tahoma"/>
                <w:iCs/>
              </w:rPr>
              <w:t>Исполнителя.</w:t>
            </w:r>
          </w:p>
          <w:p w:rsidR="00961F82" w:rsidRPr="00C7600B" w:rsidRDefault="00961F82" w:rsidP="00961F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Оплата остатка производится </w:t>
            </w:r>
            <w:r w:rsidRPr="006B43B4">
              <w:rPr>
                <w:rFonts w:ascii="Tahoma" w:hAnsi="Tahoma" w:cs="Tahoma"/>
                <w:iCs/>
              </w:rPr>
              <w:t xml:space="preserve">в течение </w:t>
            </w:r>
            <w:r>
              <w:rPr>
                <w:rFonts w:ascii="Tahoma" w:hAnsi="Tahoma" w:cs="Tahoma"/>
                <w:iCs/>
              </w:rPr>
              <w:t>1</w:t>
            </w:r>
            <w:r w:rsidRPr="006B43B4">
              <w:rPr>
                <w:rFonts w:ascii="Tahoma" w:hAnsi="Tahoma" w:cs="Tahoma"/>
                <w:iCs/>
              </w:rPr>
              <w:t>0 (</w:t>
            </w:r>
            <w:r>
              <w:rPr>
                <w:rFonts w:ascii="Tahoma" w:hAnsi="Tahoma" w:cs="Tahoma"/>
                <w:iCs/>
              </w:rPr>
              <w:t>десяти</w:t>
            </w:r>
            <w:r w:rsidRPr="006B43B4">
              <w:rPr>
                <w:rFonts w:ascii="Tahoma" w:hAnsi="Tahoma" w:cs="Tahoma"/>
                <w:iCs/>
              </w:rPr>
              <w:t xml:space="preserve">) </w:t>
            </w:r>
            <w:r>
              <w:rPr>
                <w:rFonts w:ascii="Tahoma" w:hAnsi="Tahoma" w:cs="Tahoma"/>
                <w:iCs/>
              </w:rPr>
              <w:t>календарных</w:t>
            </w:r>
            <w:r w:rsidRPr="006B43B4">
              <w:rPr>
                <w:rFonts w:ascii="Tahoma" w:hAnsi="Tahoma" w:cs="Tahoma"/>
                <w:iCs/>
              </w:rPr>
              <w:t xml:space="preserve"> дней с даты подписания Сторонами Акта приема-передачи оказанных Услуг</w:t>
            </w:r>
            <w:r>
              <w:rPr>
                <w:rFonts w:ascii="Tahoma" w:hAnsi="Tahoma" w:cs="Tahoma"/>
                <w:iCs/>
              </w:rPr>
              <w:t>/УПД</w:t>
            </w:r>
            <w:r w:rsidRPr="006B43B4">
              <w:rPr>
                <w:rFonts w:ascii="Tahoma" w:hAnsi="Tahoma" w:cs="Tahoma"/>
                <w:iCs/>
              </w:rPr>
              <w:t>, на основании полученного Заказчиком счета на оплату, выставленного Исполнителем,</w:t>
            </w:r>
            <w:r w:rsidRPr="0083777B">
              <w:rPr>
                <w:rFonts w:ascii="Tahoma" w:hAnsi="Tahoma" w:cs="Tahoma"/>
                <w:iCs/>
              </w:rPr>
              <w:t xml:space="preserve"> путем перечисления денежных средств на расчетный счет </w:t>
            </w:r>
            <w:r w:rsidRPr="00C7600B">
              <w:rPr>
                <w:rFonts w:ascii="Tahoma" w:hAnsi="Tahoma" w:cs="Tahoma"/>
                <w:iCs/>
              </w:rPr>
              <w:t>Исполнителя.</w:t>
            </w:r>
          </w:p>
          <w:p w:rsidR="00961F82" w:rsidRPr="00BF2115" w:rsidRDefault="00961F82" w:rsidP="00961F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67704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8C677B" w:rsidRPr="00767B15" w:rsidTr="007626C8">
        <w:trPr>
          <w:trHeight w:val="3255"/>
        </w:trPr>
        <w:tc>
          <w:tcPr>
            <w:tcW w:w="1966" w:type="pct"/>
            <w:tcBorders>
              <w:right w:val="single" w:sz="4" w:space="0" w:color="auto"/>
            </w:tcBorders>
          </w:tcPr>
          <w:p w:rsidR="008C677B" w:rsidRPr="00767B15" w:rsidRDefault="00E230F9" w:rsidP="00E230F9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 xml:space="preserve">Дополнительное </w:t>
            </w:r>
            <w:r w:rsidR="00CB0FCC">
              <w:rPr>
                <w:rFonts w:ascii="Tahoma" w:hAnsi="Tahoma" w:cs="Tahoma"/>
                <w:iCs/>
              </w:rPr>
              <w:t>у</w:t>
            </w:r>
            <w:r>
              <w:rPr>
                <w:rFonts w:ascii="Tahoma" w:hAnsi="Tahoma" w:cs="Tahoma"/>
                <w:iCs/>
              </w:rPr>
              <w:t>словие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8C677B" w:rsidRDefault="008C677B" w:rsidP="00E36AF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8C677B" w:rsidRPr="008C677B" w:rsidRDefault="008C677B" w:rsidP="007626C8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081EEF" w:rsidRPr="006D42EF" w:rsidRDefault="006D42EF" w:rsidP="006D42EF">
            <w:pPr>
              <w:pStyle w:val="ae"/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48" w:rsidRDefault="00635148" w:rsidP="00187070">
      <w:pPr>
        <w:spacing w:after="0" w:line="240" w:lineRule="auto"/>
      </w:pPr>
      <w:r>
        <w:separator/>
      </w:r>
    </w:p>
  </w:endnote>
  <w:end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48" w:rsidRDefault="00635148" w:rsidP="00187070">
      <w:pPr>
        <w:spacing w:after="0" w:line="240" w:lineRule="auto"/>
      </w:pPr>
      <w:r>
        <w:separator/>
      </w:r>
    </w:p>
  </w:footnote>
  <w:foot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2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6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9"/>
  </w:num>
  <w:num w:numId="7">
    <w:abstractNumId w:val="18"/>
  </w:num>
  <w:num w:numId="8">
    <w:abstractNumId w:val="3"/>
  </w:num>
  <w:num w:numId="9">
    <w:abstractNumId w:val="0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5"/>
  </w:num>
  <w:num w:numId="15">
    <w:abstractNumId w:val="22"/>
  </w:num>
  <w:num w:numId="16">
    <w:abstractNumId w:val="12"/>
  </w:num>
  <w:num w:numId="17">
    <w:abstractNumId w:val="11"/>
  </w:num>
  <w:num w:numId="18">
    <w:abstractNumId w:val="8"/>
  </w:num>
  <w:num w:numId="19">
    <w:abstractNumId w:val="13"/>
  </w:num>
  <w:num w:numId="20">
    <w:abstractNumId w:val="21"/>
  </w:num>
  <w:num w:numId="21">
    <w:abstractNumId w:val="4"/>
  </w:num>
  <w:num w:numId="22">
    <w:abstractNumId w:val="14"/>
  </w:num>
  <w:num w:numId="23">
    <w:abstractNumId w:val="4"/>
  </w:num>
  <w:num w:numId="24">
    <w:abstractNumId w:val="0"/>
  </w:num>
  <w:num w:numId="25">
    <w:abstractNumId w:val="0"/>
  </w:num>
  <w:num w:numId="26">
    <w:abstractNumId w:val="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7362"/>
    <w:rsid w:val="000B17F8"/>
    <w:rsid w:val="000B26AD"/>
    <w:rsid w:val="000B2E8A"/>
    <w:rsid w:val="000B7796"/>
    <w:rsid w:val="000C0AEC"/>
    <w:rsid w:val="000C1BD2"/>
    <w:rsid w:val="000C235B"/>
    <w:rsid w:val="000C6E03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73243"/>
    <w:rsid w:val="0017468B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169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2E40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73CF"/>
    <w:rsid w:val="003A5C0A"/>
    <w:rsid w:val="003B08E6"/>
    <w:rsid w:val="003B498C"/>
    <w:rsid w:val="003B4AC6"/>
    <w:rsid w:val="003B7945"/>
    <w:rsid w:val="003C110A"/>
    <w:rsid w:val="003C32AB"/>
    <w:rsid w:val="003C3B0A"/>
    <w:rsid w:val="003C6FE0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17E3"/>
    <w:rsid w:val="00450FC8"/>
    <w:rsid w:val="004515C3"/>
    <w:rsid w:val="0046433B"/>
    <w:rsid w:val="00465E9F"/>
    <w:rsid w:val="00466B3B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871A9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4961"/>
    <w:rsid w:val="00587082"/>
    <w:rsid w:val="00587823"/>
    <w:rsid w:val="00587C01"/>
    <w:rsid w:val="00591E19"/>
    <w:rsid w:val="0059360A"/>
    <w:rsid w:val="0059478F"/>
    <w:rsid w:val="005A1C07"/>
    <w:rsid w:val="005A3AA7"/>
    <w:rsid w:val="005A5E96"/>
    <w:rsid w:val="005B5212"/>
    <w:rsid w:val="005B6AEA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293A"/>
    <w:rsid w:val="007A1D9F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5E22"/>
    <w:rsid w:val="008263F4"/>
    <w:rsid w:val="008309F5"/>
    <w:rsid w:val="00830D1C"/>
    <w:rsid w:val="0083117D"/>
    <w:rsid w:val="00833A65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8761D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8F6FD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59B1"/>
    <w:rsid w:val="00937A64"/>
    <w:rsid w:val="009415E1"/>
    <w:rsid w:val="0094280C"/>
    <w:rsid w:val="00942A1A"/>
    <w:rsid w:val="00942A1B"/>
    <w:rsid w:val="00943EBB"/>
    <w:rsid w:val="00944524"/>
    <w:rsid w:val="00950FA9"/>
    <w:rsid w:val="00951CC4"/>
    <w:rsid w:val="00951DA0"/>
    <w:rsid w:val="0095434C"/>
    <w:rsid w:val="009564BB"/>
    <w:rsid w:val="00956F70"/>
    <w:rsid w:val="00957D48"/>
    <w:rsid w:val="00957D85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38F8"/>
    <w:rsid w:val="00A34A9A"/>
    <w:rsid w:val="00A412C5"/>
    <w:rsid w:val="00A427D9"/>
    <w:rsid w:val="00A42E5C"/>
    <w:rsid w:val="00A444F9"/>
    <w:rsid w:val="00A44794"/>
    <w:rsid w:val="00A50524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59B2"/>
    <w:rsid w:val="00AD623F"/>
    <w:rsid w:val="00AE2BBB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3637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17F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426"/>
    <w:rsid w:val="00CF6967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51C4"/>
    <w:rsid w:val="00D564D6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4456"/>
    <w:rsid w:val="00ED6219"/>
    <w:rsid w:val="00ED6C6D"/>
    <w:rsid w:val="00EE07CE"/>
    <w:rsid w:val="00EE19BA"/>
    <w:rsid w:val="00EE3B54"/>
    <w:rsid w:val="00EE56AE"/>
    <w:rsid w:val="00EF06A6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17FF0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91716"/>
    <w:rsid w:val="00F936B7"/>
    <w:rsid w:val="00F93E88"/>
    <w:rsid w:val="00F9409F"/>
    <w:rsid w:val="00F94766"/>
    <w:rsid w:val="00FA13A8"/>
    <w:rsid w:val="00FA2A94"/>
    <w:rsid w:val="00FA5CB8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D177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8919-D23A-435A-B126-2A1042F8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Литвинцева Олеся Александровна</cp:lastModifiedBy>
  <cp:revision>20</cp:revision>
  <dcterms:created xsi:type="dcterms:W3CDTF">2025-06-20T02:09:00Z</dcterms:created>
  <dcterms:modified xsi:type="dcterms:W3CDTF">2025-11-12T05:59:00Z</dcterms:modified>
</cp:coreProperties>
</file>