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с </w:t>
      </w:r>
      <w:r w:rsidR="00B94777">
        <w:rPr>
          <w:rFonts w:ascii="Tahoma" w:eastAsia="Times New Roman" w:hAnsi="Tahoma" w:cs="Tahoma"/>
          <w:color w:val="000000" w:themeColor="text1"/>
          <w:lang w:eastAsia="ru-RU"/>
        </w:rPr>
        <w:t>о</w:t>
      </w:r>
      <w:r w:rsidR="00B94777" w:rsidRPr="003C331E">
        <w:rPr>
          <w:rFonts w:ascii="Tahoma" w:hAnsi="Tahoma" w:cs="Tahoma"/>
          <w:iCs/>
          <w:color w:val="000000"/>
        </w:rPr>
        <w:t>казание</w:t>
      </w:r>
      <w:r w:rsidR="00B94777">
        <w:rPr>
          <w:rFonts w:ascii="Tahoma" w:hAnsi="Tahoma" w:cs="Tahoma"/>
          <w:iCs/>
          <w:color w:val="000000"/>
        </w:rPr>
        <w:t>м</w:t>
      </w:r>
      <w:r w:rsidR="00B94777" w:rsidRPr="003C331E">
        <w:rPr>
          <w:rFonts w:ascii="Tahoma" w:hAnsi="Tahoma" w:cs="Tahoma"/>
          <w:iCs/>
          <w:color w:val="000000"/>
        </w:rPr>
        <w:t xml:space="preserve"> комплекса услуг, включающих поставку оборудования, лицензий с обновлениями, сертификатов и выполнение работ по обеспечению защиты информации объектов информационной инфраструктуры Цифрового рубля для нужд 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о договорах и их условиях, которые могут быть заключены Сторонами в связи </w:t>
      </w:r>
      <w:r w:rsidR="00752747" w:rsidRPr="00FE5433">
        <w:rPr>
          <w:rFonts w:ascii="Tahoma" w:eastAsia="Times New Roman" w:hAnsi="Tahoma" w:cs="Tahoma"/>
          <w:color w:val="000000" w:themeColor="text1"/>
          <w:lang w:eastAsia="ru-RU"/>
        </w:rPr>
        <w:t>с</w:t>
      </w:r>
      <w:r w:rsidR="00752747" w:rsidRPr="00752747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 </w:t>
      </w:r>
      <w:r w:rsidR="00B94777">
        <w:rPr>
          <w:rFonts w:ascii="Tahoma" w:hAnsi="Tahoma" w:cs="Tahoma"/>
          <w:iCs/>
          <w:color w:val="000000"/>
        </w:rPr>
        <w:t>ок</w:t>
      </w:r>
      <w:r w:rsidR="00B94777" w:rsidRPr="003C331E">
        <w:rPr>
          <w:rFonts w:ascii="Tahoma" w:hAnsi="Tahoma" w:cs="Tahoma"/>
          <w:iCs/>
          <w:color w:val="000000"/>
        </w:rPr>
        <w:t>азание</w:t>
      </w:r>
      <w:r w:rsidR="00B94777">
        <w:rPr>
          <w:rFonts w:ascii="Tahoma" w:hAnsi="Tahoma" w:cs="Tahoma"/>
          <w:iCs/>
          <w:color w:val="000000"/>
        </w:rPr>
        <w:t>м</w:t>
      </w:r>
      <w:bookmarkStart w:id="0" w:name="_GoBack"/>
      <w:bookmarkEnd w:id="0"/>
      <w:r w:rsidR="00B94777" w:rsidRPr="003C331E">
        <w:rPr>
          <w:rFonts w:ascii="Tahoma" w:hAnsi="Tahoma" w:cs="Tahoma"/>
          <w:iCs/>
          <w:color w:val="000000"/>
        </w:rPr>
        <w:t xml:space="preserve"> комплекса услуг, включающих поставку оборудования, лицензий с обновлениями, сертификатов и выполнение работ по обеспечению защиты информации объектов информационной инфраструктуры Цифрового рубля для нужд «Азиатско-Тихоокеанский Банк» (АО)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lastRenderedPageBreak/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>достаточными для обеспечения 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</w:t>
      </w:r>
      <w:r w:rsidR="008C46BE" w:rsidRPr="008C46BE">
        <w:rPr>
          <w:rFonts w:ascii="Tahoma" w:eastAsia="Times New Roman" w:hAnsi="Tahoma" w:cs="Tahoma"/>
        </w:rPr>
        <w:lastRenderedPageBreak/>
        <w:t xml:space="preserve">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lastRenderedPageBreak/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>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lastRenderedPageBreak/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>Подтверждение 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lastRenderedPageBreak/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74" w:rsidRDefault="00614174">
      <w:pPr>
        <w:spacing w:after="0" w:line="240" w:lineRule="auto"/>
      </w:pPr>
      <w:r>
        <w:separator/>
      </w:r>
    </w:p>
  </w:endnote>
  <w:endnote w:type="continuationSeparator" w:id="0">
    <w:p w:rsidR="00614174" w:rsidRDefault="006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B94777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4777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B947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74" w:rsidRDefault="00614174">
      <w:pPr>
        <w:spacing w:after="0" w:line="240" w:lineRule="auto"/>
      </w:pPr>
      <w:r>
        <w:separator/>
      </w:r>
    </w:p>
  </w:footnote>
  <w:footnote w:type="continuationSeparator" w:id="0">
    <w:p w:rsidR="00614174" w:rsidRDefault="006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B94777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2108"/>
    <w:rsid w:val="004E6380"/>
    <w:rsid w:val="005032C8"/>
    <w:rsid w:val="00505BA7"/>
    <w:rsid w:val="00527646"/>
    <w:rsid w:val="00554DDC"/>
    <w:rsid w:val="00573F2F"/>
    <w:rsid w:val="00592DD0"/>
    <w:rsid w:val="005C533B"/>
    <w:rsid w:val="005E1EF1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52747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B1A68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52B2"/>
    <w:rsid w:val="00B8444A"/>
    <w:rsid w:val="00B87447"/>
    <w:rsid w:val="00B94777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63116"/>
    <w:rsid w:val="00D85A84"/>
    <w:rsid w:val="00DB18A6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00BC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A102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4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1B9BC1-8DA8-42BC-9304-99B6A036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4078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Щербакова Татьяна Викторовна</cp:lastModifiedBy>
  <cp:revision>14</cp:revision>
  <dcterms:created xsi:type="dcterms:W3CDTF">2024-09-02T05:46:00Z</dcterms:created>
  <dcterms:modified xsi:type="dcterms:W3CDTF">2025-12-01T05:43:00Z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