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A0A" w14:textId="77777777" w:rsidR="001F3DAE" w:rsidRPr="00B84D38" w:rsidRDefault="001F3DAE" w:rsidP="001F3DAE">
      <w:pPr>
        <w:pStyle w:val="a3"/>
        <w:jc w:val="right"/>
        <w:rPr>
          <w:i/>
          <w:color w:val="000000"/>
          <w:sz w:val="22"/>
          <w:szCs w:val="22"/>
        </w:rPr>
      </w:pPr>
      <w:r w:rsidRPr="00B84D38">
        <w:rPr>
          <w:i/>
          <w:color w:val="000000"/>
          <w:sz w:val="22"/>
          <w:szCs w:val="22"/>
        </w:rPr>
        <w:t>Приложение 1 к документации о закупке – Проект договора</w:t>
      </w:r>
    </w:p>
    <w:p w14:paraId="144757EA" w14:textId="77777777" w:rsidR="001F3DAE" w:rsidRPr="00B84D38" w:rsidRDefault="001F3DAE" w:rsidP="001F3DAE">
      <w:pPr>
        <w:pStyle w:val="a3"/>
        <w:jc w:val="right"/>
        <w:rPr>
          <w:b w:val="0"/>
          <w:i/>
          <w:color w:val="000000"/>
          <w:sz w:val="22"/>
          <w:szCs w:val="22"/>
        </w:rPr>
      </w:pPr>
    </w:p>
    <w:p w14:paraId="10045D2A" w14:textId="77777777" w:rsidR="001F3DAE" w:rsidRPr="00B84D38" w:rsidRDefault="001F3DAE" w:rsidP="001F3DAE">
      <w:pPr>
        <w:pStyle w:val="a3"/>
        <w:rPr>
          <w:color w:val="000000"/>
          <w:sz w:val="22"/>
          <w:szCs w:val="22"/>
        </w:rPr>
      </w:pPr>
      <w:bookmarkStart w:id="0" w:name="_Hlk207797899"/>
      <w:r w:rsidRPr="00B84D38">
        <w:rPr>
          <w:color w:val="000000"/>
          <w:sz w:val="22"/>
          <w:szCs w:val="22"/>
        </w:rPr>
        <w:t xml:space="preserve">ДОГОВОР ПОСТАВКИ № </w:t>
      </w:r>
    </w:p>
    <w:p w14:paraId="1276CDBB" w14:textId="488AB49E" w:rsidR="001F3DAE" w:rsidRPr="00B84D38" w:rsidRDefault="001F3DAE" w:rsidP="001F3DAE">
      <w:pPr>
        <w:pStyle w:val="2"/>
        <w:rPr>
          <w:color w:val="000000"/>
          <w:szCs w:val="22"/>
        </w:rPr>
      </w:pPr>
      <w:r w:rsidRPr="00B84D38">
        <w:rPr>
          <w:color w:val="000000"/>
          <w:szCs w:val="22"/>
        </w:rPr>
        <w:t xml:space="preserve">г. </w:t>
      </w:r>
      <w:r w:rsidR="00155019">
        <w:rPr>
          <w:color w:val="000000"/>
          <w:szCs w:val="22"/>
        </w:rPr>
        <w:t>Киров</w:t>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00B84D38" w:rsidRPr="00B84D38">
        <w:rPr>
          <w:color w:val="000000"/>
          <w:szCs w:val="22"/>
        </w:rPr>
        <w:t xml:space="preserve">           </w:t>
      </w:r>
      <w:proofErr w:type="gramStart"/>
      <w:r w:rsidR="00B84D38" w:rsidRPr="00B84D38">
        <w:rPr>
          <w:color w:val="000000"/>
          <w:szCs w:val="22"/>
        </w:rPr>
        <w:t xml:space="preserve">  </w:t>
      </w:r>
      <w:r w:rsidRPr="00B84D38">
        <w:rPr>
          <w:color w:val="000000"/>
          <w:szCs w:val="22"/>
        </w:rPr>
        <w:t xml:space="preserve"> «</w:t>
      </w:r>
      <w:proofErr w:type="gramEnd"/>
      <w:r w:rsidRPr="00B84D38">
        <w:rPr>
          <w:color w:val="000000"/>
          <w:szCs w:val="22"/>
        </w:rPr>
        <w:t>___» ______ 2025 г.</w:t>
      </w:r>
    </w:p>
    <w:p w14:paraId="72BF3E9F" w14:textId="77777777" w:rsidR="001F3DAE" w:rsidRPr="00B84D38" w:rsidRDefault="001F3DAE" w:rsidP="001F3DAE">
      <w:pPr>
        <w:rPr>
          <w:color w:val="000000"/>
          <w:sz w:val="22"/>
          <w:szCs w:val="22"/>
        </w:rPr>
      </w:pPr>
    </w:p>
    <w:p w14:paraId="2DD242BD"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 xml:space="preserve">___________________________________________________(____________), </w:t>
      </w:r>
      <w:r w:rsidRPr="00B84D38">
        <w:rPr>
          <w:sz w:val="22"/>
          <w:szCs w:val="22"/>
          <w:lang w:eastAsia="zh-CN"/>
        </w:rPr>
        <w:t>именуемое в дальнейшем «</w:t>
      </w:r>
      <w:r w:rsidRPr="00B84D38">
        <w:rPr>
          <w:b/>
          <w:bCs/>
          <w:sz w:val="22"/>
          <w:szCs w:val="22"/>
          <w:lang w:eastAsia="zh-CN"/>
        </w:rPr>
        <w:t>Поставщик</w:t>
      </w:r>
      <w:r w:rsidRPr="00B84D38">
        <w:rPr>
          <w:sz w:val="22"/>
          <w:szCs w:val="22"/>
          <w:lang w:eastAsia="zh-CN"/>
        </w:rPr>
        <w:t xml:space="preserve">», в лице___________________________________________, действующего на основании ______________________г, с одной стороны, и </w:t>
      </w:r>
    </w:p>
    <w:p w14:paraId="76571291"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Общество с ограниченной ответственностью «Кировский компрессор» (ООО «Кировский компрессор»)</w:t>
      </w:r>
      <w:r w:rsidRPr="00B84D38">
        <w:rPr>
          <w:sz w:val="22"/>
          <w:szCs w:val="22"/>
          <w:lang w:eastAsia="zh-CN"/>
        </w:rPr>
        <w:t>, именуемое в дальнейшем «</w:t>
      </w:r>
      <w:r w:rsidRPr="00B84D38">
        <w:rPr>
          <w:b/>
          <w:sz w:val="22"/>
          <w:szCs w:val="22"/>
          <w:lang w:eastAsia="zh-CN"/>
        </w:rPr>
        <w:t>Покупатель</w:t>
      </w:r>
      <w:r w:rsidRPr="00B84D38">
        <w:rPr>
          <w:sz w:val="22"/>
          <w:szCs w:val="22"/>
          <w:lang w:eastAsia="zh-CN"/>
        </w:rPr>
        <w:t xml:space="preserve">», в лице генерального директора Куницына </w:t>
      </w:r>
      <w:r w:rsidRPr="00B84D38">
        <w:rPr>
          <w:sz w:val="22"/>
          <w:szCs w:val="22"/>
        </w:rPr>
        <w:t>Леонида Николаевича</w:t>
      </w:r>
      <w:r w:rsidRPr="00B84D38">
        <w:rPr>
          <w:sz w:val="22"/>
          <w:szCs w:val="22"/>
          <w:lang w:eastAsia="zh-CN"/>
        </w:rPr>
        <w:t>, действующего на Устава, с другой стороны, при совместном упоминании и по отдельности именуемые соответственно «Стороны» или «Сторона»</w:t>
      </w:r>
      <w:bookmarkEnd w:id="0"/>
      <w:r w:rsidRPr="00B84D38">
        <w:rPr>
          <w:sz w:val="22"/>
          <w:szCs w:val="22"/>
          <w:lang w:eastAsia="zh-CN"/>
        </w:rPr>
        <w:t xml:space="preserve"> на основании итогового протокола закупочной комиссии №___________ от _________, заключили настоящий договор (далее по тексту – «Договор») о нижеследующем:</w:t>
      </w:r>
    </w:p>
    <w:p w14:paraId="05703094" w14:textId="77777777" w:rsidR="001F3DAE" w:rsidRPr="00B84D38" w:rsidRDefault="001F3DAE" w:rsidP="001F3DAE">
      <w:pPr>
        <w:suppressAutoHyphens/>
        <w:spacing w:line="252" w:lineRule="auto"/>
        <w:ind w:firstLine="567"/>
        <w:jc w:val="both"/>
        <w:rPr>
          <w:sz w:val="22"/>
          <w:szCs w:val="22"/>
          <w:lang w:eastAsia="zh-CN"/>
        </w:rPr>
      </w:pPr>
    </w:p>
    <w:p w14:paraId="3C044075" w14:textId="77777777" w:rsidR="001F3DAE" w:rsidRPr="00B84D38" w:rsidRDefault="001F3DAE" w:rsidP="001F3DAE">
      <w:pPr>
        <w:keepNext/>
        <w:keepLines/>
        <w:spacing w:after="29" w:line="264" w:lineRule="auto"/>
        <w:ind w:left="297" w:right="244" w:hanging="10"/>
        <w:jc w:val="center"/>
        <w:outlineLvl w:val="1"/>
        <w:rPr>
          <w:b/>
          <w:color w:val="000000"/>
          <w:sz w:val="22"/>
          <w:szCs w:val="22"/>
          <w:lang w:eastAsia="en-US"/>
        </w:rPr>
      </w:pPr>
      <w:r w:rsidRPr="00B84D38">
        <w:rPr>
          <w:b/>
          <w:color w:val="000000"/>
          <w:sz w:val="22"/>
          <w:szCs w:val="22"/>
          <w:lang w:eastAsia="en-US"/>
        </w:rPr>
        <w:t>1. ПРЕДМЕТ ДОГОВОРА</w:t>
      </w:r>
    </w:p>
    <w:p w14:paraId="0A29A6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1.1. Поставщик обязуется поставить Покупателю Продукцию, наименование, количество, цена и сроки поставки которой установлены Договором и Спецификацией (Приложение № 1 к настоящему Договору), являющейся неотъемлемой частью настоящего Договора, а Покупатель обязуется принять и оплатить Продукцию, соответствующую требованиям, установленным Договором.</w:t>
      </w:r>
    </w:p>
    <w:p w14:paraId="7AD8750B" w14:textId="778B019E"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1.2. Место поставки Продукции — Кировская область, г. Киров, ул. Тихая, д. 12.</w:t>
      </w:r>
    </w:p>
    <w:p w14:paraId="5D0F1464" w14:textId="219D4E3C"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 xml:space="preserve">1.3. Поставка Продукции осуществляется единовременно, </w:t>
      </w:r>
      <w:r w:rsidRPr="00127079">
        <w:rPr>
          <w:color w:val="000000"/>
          <w:sz w:val="22"/>
          <w:szCs w:val="22"/>
          <w:highlight w:val="yellow"/>
          <w:lang w:eastAsia="en-US"/>
        </w:rPr>
        <w:t xml:space="preserve">в течение </w:t>
      </w:r>
      <w:r w:rsidR="0015006A">
        <w:rPr>
          <w:color w:val="000000"/>
          <w:sz w:val="22"/>
          <w:szCs w:val="22"/>
          <w:highlight w:val="yellow"/>
          <w:lang w:eastAsia="en-US"/>
        </w:rPr>
        <w:t>120</w:t>
      </w:r>
      <w:r w:rsidRPr="00127079">
        <w:rPr>
          <w:color w:val="000000"/>
          <w:sz w:val="22"/>
          <w:szCs w:val="22"/>
          <w:highlight w:val="yellow"/>
          <w:lang w:eastAsia="en-US"/>
        </w:rPr>
        <w:t xml:space="preserve"> календарных дней с момента получения предоплаты.</w:t>
      </w:r>
    </w:p>
    <w:p w14:paraId="22115E32" w14:textId="77EB1179" w:rsidR="001F3DAE" w:rsidRPr="00B84D38" w:rsidRDefault="001F3DAE" w:rsidP="001F3DAE">
      <w:pPr>
        <w:spacing w:after="4" w:line="250" w:lineRule="auto"/>
        <w:ind w:left="21" w:right="50" w:firstLine="681"/>
        <w:jc w:val="both"/>
        <w:rPr>
          <w:color w:val="0D0D0D"/>
          <w:sz w:val="22"/>
          <w:szCs w:val="22"/>
        </w:rPr>
      </w:pPr>
      <w:r w:rsidRPr="00B84D38">
        <w:rPr>
          <w:color w:val="000000"/>
          <w:sz w:val="22"/>
          <w:szCs w:val="22"/>
          <w:lang w:eastAsia="en-US"/>
        </w:rPr>
        <w:t xml:space="preserve">1.4. </w:t>
      </w:r>
      <w:r w:rsidRPr="00B84D38">
        <w:rPr>
          <w:color w:val="0D0D0D"/>
          <w:sz w:val="22"/>
          <w:szCs w:val="22"/>
        </w:rPr>
        <w:t xml:space="preserve">Настоящий договор заключен в рамках исполнения заключенного ООО «Кировский компрессор» и </w:t>
      </w:r>
      <w:r w:rsidRPr="00B84D38">
        <w:rPr>
          <w:sz w:val="22"/>
          <w:szCs w:val="22"/>
        </w:rPr>
        <w:t xml:space="preserve">АНО </w:t>
      </w:r>
      <w:r w:rsidRPr="00B84D38">
        <w:rPr>
          <w:bCs/>
          <w:sz w:val="22"/>
          <w:szCs w:val="22"/>
        </w:rPr>
        <w:t>«Агентство по технологическому развитию» д</w:t>
      </w:r>
      <w:r w:rsidRPr="00B84D38">
        <w:rPr>
          <w:color w:val="0D0D0D"/>
          <w:sz w:val="22"/>
          <w:szCs w:val="22"/>
        </w:rPr>
        <w:t>оговора от 12.09.2025г. № 80-2025-000015 о предоставлении вклада в уставный капитал юридического лица, источником финансового обеспечения которого является предоставленная из федерального бюджета субсидия (далее – договор вклада). Идентификатор (ИГК) договора вклада: 0000000002024PSJ0002. Поставщик обязуется указывать идентификатор договора вклада в документе-основании на оплату, реестре документов-оснований, направляемом в адрес Покупателя.</w:t>
      </w:r>
    </w:p>
    <w:p w14:paraId="736F6D89" w14:textId="16B195BE" w:rsidR="001F3DAE" w:rsidRPr="00B84D38" w:rsidRDefault="001F3DAE" w:rsidP="001F3DAE">
      <w:pPr>
        <w:spacing w:after="4" w:line="250" w:lineRule="auto"/>
        <w:ind w:left="21" w:right="50" w:firstLine="681"/>
        <w:jc w:val="both"/>
        <w:rPr>
          <w:rFonts w:eastAsia="Calibri"/>
          <w:color w:val="0D0D0D"/>
          <w:sz w:val="22"/>
          <w:szCs w:val="22"/>
        </w:rPr>
      </w:pPr>
      <w:r w:rsidRPr="00B84D38">
        <w:rPr>
          <w:color w:val="000000"/>
          <w:sz w:val="22"/>
          <w:szCs w:val="22"/>
          <w:lang w:eastAsia="en-US"/>
        </w:rPr>
        <w:t xml:space="preserve">1.5. </w:t>
      </w:r>
      <w:r w:rsidRPr="00B84D38">
        <w:rPr>
          <w:rFonts w:eastAsia="Calibri"/>
          <w:color w:val="0D0D0D"/>
          <w:sz w:val="22"/>
          <w:szCs w:val="22"/>
        </w:rPr>
        <w:t xml:space="preserve">В отношении Договора осуществляется казначейское сопровождение в соответствии со статьей 5 </w:t>
      </w:r>
      <w:r w:rsidRPr="00B84D38">
        <w:rPr>
          <w:color w:val="0D0D0D"/>
          <w:sz w:val="22"/>
          <w:szCs w:val="22"/>
          <w:lang w:eastAsia="ar-SA"/>
        </w:rPr>
        <w:t>Федеральн</w:t>
      </w:r>
      <w:r w:rsidRPr="00B84D38">
        <w:rPr>
          <w:color w:val="0D0D0D"/>
          <w:sz w:val="22"/>
          <w:szCs w:val="22"/>
        </w:rPr>
        <w:t>ого</w:t>
      </w:r>
      <w:r w:rsidRPr="00B84D38">
        <w:rPr>
          <w:color w:val="0D0D0D"/>
          <w:sz w:val="22"/>
          <w:szCs w:val="22"/>
          <w:lang w:eastAsia="ar-SA"/>
        </w:rPr>
        <w:t xml:space="preserve"> закон</w:t>
      </w:r>
      <w:r w:rsidRPr="00B84D38">
        <w:rPr>
          <w:color w:val="0D0D0D"/>
          <w:sz w:val="22"/>
          <w:szCs w:val="22"/>
        </w:rPr>
        <w:t>а</w:t>
      </w:r>
      <w:r w:rsidRPr="00B84D38">
        <w:rPr>
          <w:color w:val="0D0D0D"/>
          <w:sz w:val="22"/>
          <w:szCs w:val="22"/>
          <w:lang w:eastAsia="ar-SA"/>
        </w:rPr>
        <w:t xml:space="preserve"> от 30.11.2024 </w:t>
      </w:r>
      <w:r w:rsidRPr="00B84D38">
        <w:rPr>
          <w:color w:val="0D0D0D"/>
          <w:sz w:val="22"/>
          <w:szCs w:val="22"/>
        </w:rPr>
        <w:t>№</w:t>
      </w:r>
      <w:r w:rsidRPr="00B84D38">
        <w:rPr>
          <w:color w:val="0D0D0D"/>
          <w:sz w:val="22"/>
          <w:szCs w:val="22"/>
          <w:lang w:eastAsia="ar-SA"/>
        </w:rPr>
        <w:t xml:space="preserve"> 419-ФЗ</w:t>
      </w:r>
      <w:r w:rsidRPr="00B84D38">
        <w:rPr>
          <w:color w:val="0D0D0D"/>
          <w:sz w:val="22"/>
          <w:szCs w:val="22"/>
        </w:rPr>
        <w:t xml:space="preserve"> «</w:t>
      </w:r>
      <w:r w:rsidRPr="007335BF">
        <w:rPr>
          <w:color w:val="0D0D0D"/>
          <w:sz w:val="22"/>
          <w:szCs w:val="22"/>
          <w:lang w:eastAsia="ar-SA"/>
        </w:rPr>
        <w:t>О федеральном бюджете на 2025 год и на плановый период 2026 и 2027 годов</w:t>
      </w:r>
      <w:r w:rsidRPr="00B84D38">
        <w:rPr>
          <w:color w:val="0D0D0D"/>
          <w:sz w:val="22"/>
          <w:szCs w:val="22"/>
        </w:rPr>
        <w:t xml:space="preserve">» </w:t>
      </w:r>
      <w:r w:rsidRPr="00B84D38">
        <w:rPr>
          <w:rFonts w:eastAsia="Calibri"/>
          <w:color w:val="0D0D0D"/>
          <w:sz w:val="22"/>
          <w:szCs w:val="22"/>
        </w:rPr>
        <w:t>в порядке, установленном постановлением Правительства Российской Федерации от 24.11.2021г. № 2024 «О правилах казначейского сопровождения».</w:t>
      </w:r>
    </w:p>
    <w:p w14:paraId="26DAB3EF" w14:textId="0D35D4A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 xml:space="preserve"> В рамках казначейского сопровождения Поставщик обязуется:</w:t>
      </w:r>
    </w:p>
    <w:p w14:paraId="2F35A1DB" w14:textId="0C76BEB7"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.1. Открыть лицевой счет в территориальном органе Федерального казначейства для учета операций с целевыми средствами юридических лиц при казначейском сопровождении.</w:t>
      </w:r>
    </w:p>
    <w:p w14:paraId="378F13B8" w14:textId="03222D8E"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.2. Представлять в территориальном органе Федерального казначейства документы, установленные порядком санкционирования, предусмотренные пунктом 4 статьи 242.23 Бюджетного кодекса Российской Федерации.</w:t>
      </w:r>
    </w:p>
    <w:p w14:paraId="06F4466D" w14:textId="270C701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.3. Вести раздельный учет результатов финансово-хозяйственной деятельности по настоящему Договору в соответствии с порядком, определенным Правительством Российской Федерации.</w:t>
      </w:r>
    </w:p>
    <w:p w14:paraId="643E6923" w14:textId="2CF25E4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.4. В случае заключения договоров с соисполнителями во исполнение настоящего Договора, включить в него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договорах с соисполнителями идентификатора.</w:t>
      </w:r>
    </w:p>
    <w:p w14:paraId="49543DA1" w14:textId="6309A9C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.5. Указывать в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соглашения, порядок формирования которого устанавливается Министерством финансов Российской Федерации.</w:t>
      </w:r>
    </w:p>
    <w:p w14:paraId="3FCD2221" w14:textId="6BF7899C"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.6. Формировать в установленных Правительством Российской Федерации случаях информацию о структуре цены настоящего Договора в порядке и по форме, установленным Министерством финансов Российской Федерации (далее – расходная декларация).</w:t>
      </w:r>
    </w:p>
    <w:p w14:paraId="3BA32142" w14:textId="535F16D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.7. При казначейском сопровождении запрещено перечислять целевые средства с лицевого счета:</w:t>
      </w:r>
    </w:p>
    <w:p w14:paraId="7C3FAF9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lastRenderedPageBreak/>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323F88F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устанавливающих порядок организации и осуществления бюджетного процесса в субъектах Российской Федерации (муниципальных образованиях).</w:t>
      </w:r>
    </w:p>
    <w:p w14:paraId="4A777C5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3) на счета, открытые в учреждении Центрального банка Российской Федерации или в кредитной организации юридическому лицу, за исключением:</w:t>
      </w:r>
    </w:p>
    <w:p w14:paraId="64EB2B4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оплаты обязательств в соответствии с валютным законодательством Российской Федерации;</w:t>
      </w:r>
    </w:p>
    <w:p w14:paraId="2CE7B8FB"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целевых средств;</w:t>
      </w:r>
    </w:p>
    <w:p w14:paraId="50B0308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в) оплаты фактически поставленных товаров, выполненных работ, оказанных услуг, источником финансового обеспечения которых являются средства, предоставляемые на основании настоящего Договора, в случае, если Поставщик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427F7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г)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1C21AD16"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подведомственных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F9F431" w14:textId="0378577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.8. При казначейском сопровождении ведение и использование лицевого счета (режим лицевого счета) предусматривают соблюдение следующих условий:</w:t>
      </w:r>
    </w:p>
    <w:p w14:paraId="5A19D56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1) о запрете осуществления операций на лицевом счете, об отказе в осуществлении операций на лицевом счете при наличии оснований, указанных в </w:t>
      </w:r>
      <w:r w:rsidRPr="00B84D38">
        <w:rPr>
          <w:rFonts w:ascii="Times New Roman" w:hAnsi="Times New Roman" w:cs="Times New Roman"/>
        </w:rPr>
        <w:t>пунктах 10</w:t>
      </w:r>
      <w:r w:rsidRPr="00B84D38">
        <w:rPr>
          <w:rFonts w:ascii="Times New Roman" w:hAnsi="Times New Roman" w:cs="Times New Roman"/>
          <w:color w:val="0D0D0D"/>
        </w:rPr>
        <w:t> и </w:t>
      </w:r>
      <w:r w:rsidRPr="00B84D38">
        <w:rPr>
          <w:rFonts w:ascii="Times New Roman" w:hAnsi="Times New Roman" w:cs="Times New Roman"/>
        </w:rPr>
        <w:t>11 статьи 242.13-1</w:t>
      </w:r>
      <w:r w:rsidRPr="00B84D38">
        <w:rPr>
          <w:rFonts w:ascii="Times New Roman" w:hAnsi="Times New Roman" w:cs="Times New Roman"/>
          <w:color w:val="0D0D0D"/>
        </w:rPr>
        <w:t> Бюджетного кодекса Российской Федерации соответственно, а также о приостановлении операций на лицевом счете в соответствии с </w:t>
      </w:r>
      <w:r w:rsidRPr="00B84D38">
        <w:rPr>
          <w:rFonts w:ascii="Times New Roman" w:hAnsi="Times New Roman" w:cs="Times New Roman"/>
        </w:rPr>
        <w:t>пунктом 3</w:t>
      </w:r>
      <w:r w:rsidRPr="00B84D38">
        <w:rPr>
          <w:rFonts w:ascii="Times New Roman" w:hAnsi="Times New Roman" w:cs="Times New Roman"/>
          <w:color w:val="0D0D0D"/>
        </w:rPr>
        <w:t> указанной статьи в порядке, предусмотренном Правительством Российской Федерации;</w:t>
      </w:r>
    </w:p>
    <w:p w14:paraId="2C1D26A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56020F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xml:space="preserve">3) о проведении операций с целевыми средствами, отраженными на лицевых счетах, после </w:t>
      </w:r>
      <w:r w:rsidRPr="00B84D38">
        <w:rPr>
          <w:rFonts w:ascii="Times New Roman" w:hAnsi="Times New Roman" w:cs="Times New Roman"/>
          <w:color w:val="0D0D0D"/>
        </w:rPr>
        <w:lastRenderedPageBreak/>
        <w:t>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3DD973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о ведении в соответствии с </w:t>
      </w:r>
      <w:r w:rsidRPr="00B84D38">
        <w:rPr>
          <w:rFonts w:ascii="Times New Roman" w:hAnsi="Times New Roman" w:cs="Times New Roman"/>
        </w:rPr>
        <w:t>порядком</w:t>
      </w:r>
      <w:r w:rsidRPr="00B84D38">
        <w:rPr>
          <w:rFonts w:ascii="Times New Roman" w:hAnsi="Times New Roman" w:cs="Times New Roman"/>
          <w:color w:val="0D0D0D"/>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настоящему контракту, договору (соглашению), контракту (договору);</w:t>
      </w:r>
    </w:p>
    <w:p w14:paraId="66FE2F8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r w:rsidRPr="00B84D38">
        <w:rPr>
          <w:rFonts w:ascii="Times New Roman" w:hAnsi="Times New Roman" w:cs="Times New Roman"/>
        </w:rPr>
        <w:t>пунктом 12</w:t>
      </w:r>
      <w:r w:rsidRPr="00B84D38">
        <w:rPr>
          <w:rFonts w:ascii="Times New Roman" w:hAnsi="Times New Roman" w:cs="Times New Roman"/>
          <w:color w:val="0D0D0D"/>
        </w:rPr>
        <w:t>  Правил казначейского сопровождения, утвержденных постановлением Правительства Российской Федерации от 24 ноября 2021г. № 2024) в случае, если возможность такого размещения установлена:</w:t>
      </w:r>
    </w:p>
    <w:p w14:paraId="407344FC"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14:paraId="212A4EB1"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19994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r w:rsidRPr="00B84D38">
        <w:rPr>
          <w:rFonts w:ascii="Times New Roman" w:hAnsi="Times New Roman" w:cs="Times New Roman"/>
        </w:rPr>
        <w:t>подпунктом 3 пункта 3 статьи 242.23</w:t>
      </w:r>
      <w:r w:rsidRPr="00B84D38">
        <w:rPr>
          <w:rFonts w:ascii="Times New Roman" w:hAnsi="Times New Roman" w:cs="Times New Roman"/>
          <w:color w:val="0D0D0D"/>
        </w:rPr>
        <w:t>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14:paraId="441AA68A" w14:textId="77777777" w:rsidR="00B84D38" w:rsidRPr="00B84D38" w:rsidRDefault="00B84D38" w:rsidP="00B84D38">
      <w:pPr>
        <w:pStyle w:val="ConsPlusNormal"/>
        <w:ind w:firstLine="567"/>
        <w:jc w:val="both"/>
        <w:rPr>
          <w:rFonts w:ascii="Times New Roman" w:hAnsi="Times New Roman" w:cs="Times New Roman"/>
          <w:color w:val="0D0D0D"/>
        </w:rPr>
      </w:pPr>
      <w:bookmarkStart w:id="1" w:name="_Hlk184634426"/>
      <w:r w:rsidRPr="00B84D38">
        <w:rPr>
          <w:rFonts w:ascii="Times New Roman" w:hAnsi="Times New Roman" w:cs="Times New Roman"/>
          <w:color w:val="0D0D0D"/>
        </w:rPr>
        <w:t>7)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w:t>
      </w:r>
    </w:p>
    <w:bookmarkEnd w:id="1"/>
    <w:p w14:paraId="71E42C1B" w14:textId="1F406978"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1.7.</w:t>
      </w:r>
      <w:r w:rsidRPr="00B84D38">
        <w:rPr>
          <w:rFonts w:ascii="Times New Roman" w:hAnsi="Times New Roman" w:cs="Times New Roman"/>
          <w:color w:val="0D0D0D"/>
        </w:rPr>
        <w:t xml:space="preserve"> При казначейском сопровождении средств, предоставляемых на основании договоров (соглашений), указанных в статье 5 Федеральный закон от 30.11.2024 № 419-ФЗ «</w:t>
      </w:r>
      <w:r w:rsidRPr="007335BF">
        <w:rPr>
          <w:rFonts w:ascii="Times New Roman" w:hAnsi="Times New Roman" w:cs="Times New Roman"/>
          <w:color w:val="0D0D0D"/>
        </w:rPr>
        <w:t>О федеральном бюджете на 2025 год и на плановый период 2026 и 2027 годов</w:t>
      </w:r>
      <w:r w:rsidRPr="00B84D38">
        <w:rPr>
          <w:rFonts w:ascii="Times New Roman" w:hAnsi="Times New Roman" w:cs="Times New Roman"/>
          <w:color w:val="0D0D0D"/>
        </w:rPr>
        <w:t>» и в соответствии с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к кредитных организациях» (далее – постановление Правительства РФ от 11.12.2024г. № 1752) перечисление средств с лицевых счетов участника казначейского сопровождения, открытых заказчикам в рамках исполнения договоров (соглашений) о предоставлении субсидий, осуществляется в 2025 году на расчетные счета, открытые в кредитных организациях:</w:t>
      </w:r>
    </w:p>
    <w:p w14:paraId="597D02E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поставщикам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проектная документация), информация о которых содержится в перечне строительных материалов и оборудования, включенных в проектную документацию (далее - перечень), по форме согласно приложению № 1 к постановлению Правительства РФ от 11.12.2024г. № 1752;</w:t>
      </w:r>
    </w:p>
    <w:p w14:paraId="2BE5B5A2"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поставщикам товаров,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товаров документов, определенных нормативным правовым актом Министерства финансов Российской Федерации в соответствии с пунктом 4 статьи 242.23 Бюджетного кодекса Российской Федерации (далее - порядок санкционирования).</w:t>
      </w:r>
    </w:p>
    <w:p w14:paraId="4A5E832A" w14:textId="77777777" w:rsidR="00B84D38" w:rsidRPr="00B84D38" w:rsidRDefault="00B84D38" w:rsidP="001F3DAE">
      <w:pPr>
        <w:spacing w:after="4" w:line="250" w:lineRule="auto"/>
        <w:ind w:left="21" w:right="50" w:firstLine="681"/>
        <w:jc w:val="both"/>
        <w:rPr>
          <w:color w:val="000000"/>
          <w:sz w:val="22"/>
          <w:szCs w:val="22"/>
          <w:lang w:eastAsia="en-US"/>
        </w:rPr>
      </w:pPr>
    </w:p>
    <w:p w14:paraId="35AE285C" w14:textId="77777777" w:rsidR="001F3DAE" w:rsidRPr="00B84D38" w:rsidRDefault="001F3DAE" w:rsidP="001F3DAE">
      <w:pPr>
        <w:keepNext/>
        <w:keepLines/>
        <w:spacing w:after="29" w:line="264" w:lineRule="auto"/>
        <w:ind w:left="297" w:right="280" w:hanging="10"/>
        <w:jc w:val="center"/>
        <w:outlineLvl w:val="1"/>
        <w:rPr>
          <w:b/>
          <w:color w:val="000000"/>
          <w:sz w:val="22"/>
          <w:szCs w:val="22"/>
          <w:lang w:eastAsia="en-US"/>
        </w:rPr>
      </w:pPr>
      <w:r w:rsidRPr="00B84D38">
        <w:rPr>
          <w:b/>
          <w:color w:val="000000"/>
          <w:sz w:val="22"/>
          <w:szCs w:val="22"/>
          <w:lang w:eastAsia="en-US"/>
        </w:rPr>
        <w:t>2. СРОК И ПОРЯДОК ПОСТАВКИ</w:t>
      </w:r>
    </w:p>
    <w:p w14:paraId="754F34B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2.1. Поставщик обязуется поставить Продукцию в сроки, согласованные сторонами в Спецификации (Приложение № 1 к настоящему Договору).</w:t>
      </w:r>
    </w:p>
    <w:p w14:paraId="7AA5AAB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2.2. Поставщик обязан факсимильным сообщением уведомить Покупателя о готовности Продукции к отгрузке.</w:t>
      </w:r>
    </w:p>
    <w:p w14:paraId="409319B4" w14:textId="77777777" w:rsidR="001F3DAE" w:rsidRPr="00B84D38" w:rsidRDefault="001F3DAE" w:rsidP="001F3DAE">
      <w:pPr>
        <w:spacing w:after="29" w:line="250" w:lineRule="auto"/>
        <w:ind w:left="21" w:right="50" w:firstLine="681"/>
        <w:jc w:val="both"/>
        <w:rPr>
          <w:color w:val="000000"/>
          <w:sz w:val="22"/>
          <w:szCs w:val="22"/>
          <w:lang w:eastAsia="en-US"/>
        </w:rPr>
      </w:pPr>
      <w:r w:rsidRPr="00B84D38">
        <w:rPr>
          <w:color w:val="000000"/>
          <w:sz w:val="22"/>
          <w:szCs w:val="22"/>
          <w:lang w:eastAsia="en-US"/>
        </w:rPr>
        <w:lastRenderedPageBreak/>
        <w:t>2.3. Доставка Продукции осуществляется транспортом Поставщика и за его счет. Досрочная поставка Продукции производится только с согласия Покупателя.</w:t>
      </w:r>
    </w:p>
    <w:p w14:paraId="664DE588"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2.4. Во время доставки Продукции Поставщик должен обеспечить качество и безопасность Продукции посредством выполнения требований Договора, нормативно-технической документации на Продукцию, ГОСТ, ТУ, в том числе регламентирующих условия перевозки Продукции, и требований Покупателя.</w:t>
      </w:r>
    </w:p>
    <w:p w14:paraId="556B75C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2.5. Датой поставки Продукции является дата подписания Покупателем товарной накладной по форме ТОРГ- 12 либо универсального передаточного документа.</w:t>
      </w:r>
    </w:p>
    <w:p w14:paraId="16918E23" w14:textId="77777777" w:rsidR="001F3DAE" w:rsidRPr="00B84D38" w:rsidRDefault="001F3DAE" w:rsidP="001F3DAE">
      <w:pPr>
        <w:spacing w:after="27" w:line="250" w:lineRule="auto"/>
        <w:ind w:left="21" w:right="50" w:firstLine="681"/>
        <w:jc w:val="both"/>
        <w:rPr>
          <w:color w:val="000000"/>
          <w:sz w:val="22"/>
          <w:szCs w:val="22"/>
          <w:lang w:eastAsia="en-US"/>
        </w:rPr>
      </w:pPr>
      <w:r w:rsidRPr="00B84D38">
        <w:rPr>
          <w:color w:val="000000"/>
          <w:sz w:val="22"/>
          <w:szCs w:val="22"/>
          <w:lang w:eastAsia="en-US"/>
        </w:rPr>
        <w:t>Товарная накладная (форма ТОРГ-12) либо универсальный передаточный документ (УПД) в графе «Основание» в обязательном порядке должна содержать указание на номер и дату Договора и Спецификации (Приложение к Договору).</w:t>
      </w:r>
    </w:p>
    <w:p w14:paraId="69069573"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2.6. Право собственности на Продукцию переходит к Покупателю с момента подписания Покупателем товарной накладной формы ТОРГ-12 (универсального передаточного документа).</w:t>
      </w:r>
    </w:p>
    <w:p w14:paraId="3CA05A95" w14:textId="77777777" w:rsidR="001F3DAE" w:rsidRPr="00B84D38" w:rsidRDefault="001F3DAE" w:rsidP="001F3DAE">
      <w:pPr>
        <w:keepNext/>
        <w:keepLines/>
        <w:spacing w:after="29" w:line="264" w:lineRule="auto"/>
        <w:ind w:left="297" w:right="258" w:hanging="10"/>
        <w:jc w:val="center"/>
        <w:outlineLvl w:val="0"/>
        <w:rPr>
          <w:b/>
          <w:color w:val="000000"/>
          <w:sz w:val="22"/>
          <w:szCs w:val="22"/>
          <w:lang w:eastAsia="en-US"/>
        </w:rPr>
      </w:pPr>
      <w:r w:rsidRPr="00B84D38">
        <w:rPr>
          <w:b/>
          <w:color w:val="000000"/>
          <w:sz w:val="22"/>
          <w:szCs w:val="22"/>
          <w:lang w:eastAsia="en-US"/>
        </w:rPr>
        <w:t>З. СУММА, ЦЕНА ДОГОВОРА И ПОРЯДОК РАСЧЕТОВ</w:t>
      </w:r>
    </w:p>
    <w:p w14:paraId="6EBFDEFE"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3.1. Цена Договора на момент его заключения по Спецификации №1 (Приложение №1 к договору) составляет ______________________ (______________________) ____ копеек., в том числе НДС 20% – __________________ руб., является фиксированной и изменению не подлежит.</w:t>
      </w:r>
    </w:p>
    <w:p w14:paraId="51DAA072" w14:textId="77777777" w:rsidR="001F3DAE" w:rsidRPr="00B84D38" w:rsidRDefault="001F3DAE" w:rsidP="001F3DAE">
      <w:pPr>
        <w:spacing w:after="25" w:line="250" w:lineRule="auto"/>
        <w:ind w:left="21" w:right="50" w:firstLine="681"/>
        <w:jc w:val="both"/>
        <w:rPr>
          <w:color w:val="000000"/>
          <w:sz w:val="22"/>
          <w:szCs w:val="22"/>
          <w:lang w:eastAsia="en-US"/>
        </w:rPr>
      </w:pPr>
      <w:r w:rsidRPr="00B84D38">
        <w:rPr>
          <w:color w:val="000000"/>
          <w:sz w:val="22"/>
          <w:szCs w:val="22"/>
          <w:lang w:eastAsia="en-US"/>
        </w:rPr>
        <w:t xml:space="preserve">3.2. Цена единицы Продукции устанавливается в российских рублях и включает в себя стоимость Продукции, стоимость упаковки, маркировки, затаривания, </w:t>
      </w:r>
      <w:proofErr w:type="spellStart"/>
      <w:r w:rsidRPr="00B84D38">
        <w:rPr>
          <w:color w:val="000000"/>
          <w:sz w:val="22"/>
          <w:szCs w:val="22"/>
          <w:lang w:eastAsia="en-US"/>
        </w:rPr>
        <w:t>погрузочно</w:t>
      </w:r>
      <w:proofErr w:type="spellEnd"/>
      <w:r w:rsidRPr="00B84D38">
        <w:rPr>
          <w:color w:val="000000"/>
          <w:sz w:val="22"/>
          <w:szCs w:val="22"/>
          <w:lang w:eastAsia="en-US"/>
        </w:rPr>
        <w:t xml:space="preserve"> — разгрузочных работ, таможенные платежи, НДС, другие установленные налоги, сборы и платежи, а также иные расходы, связанные с поставкой Продукции.</w:t>
      </w:r>
    </w:p>
    <w:p w14:paraId="4B4A1E1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3.3. Покупатель оплачивает Продукции Поставщику в следующем порядке:</w:t>
      </w:r>
    </w:p>
    <w:p w14:paraId="757128AD" w14:textId="0DF1D991" w:rsidR="001F3DAE" w:rsidRPr="00B84D38" w:rsidRDefault="001F3DAE" w:rsidP="001F3DAE">
      <w:pPr>
        <w:spacing w:after="4" w:line="250" w:lineRule="auto"/>
        <w:ind w:left="21" w:right="50" w:firstLine="681"/>
        <w:jc w:val="both"/>
        <w:rPr>
          <w:color w:val="000000"/>
          <w:sz w:val="22"/>
          <w:szCs w:val="22"/>
          <w:highlight w:val="yellow"/>
          <w:lang w:eastAsia="en-US"/>
        </w:rPr>
      </w:pPr>
      <w:r w:rsidRPr="00B84D38">
        <w:rPr>
          <w:color w:val="000000"/>
          <w:sz w:val="22"/>
          <w:szCs w:val="22"/>
          <w:lang w:eastAsia="en-US"/>
        </w:rPr>
        <w:t xml:space="preserve">3.3.1. </w:t>
      </w:r>
      <w:r w:rsidRPr="00B84D38">
        <w:rPr>
          <w:color w:val="000000"/>
          <w:sz w:val="22"/>
          <w:szCs w:val="22"/>
          <w:highlight w:val="yellow"/>
          <w:lang w:eastAsia="en-US"/>
        </w:rPr>
        <w:t xml:space="preserve">Аванс в размере </w:t>
      </w:r>
      <w:r w:rsidR="00616177">
        <w:rPr>
          <w:color w:val="000000"/>
          <w:sz w:val="22"/>
          <w:szCs w:val="22"/>
          <w:highlight w:val="yellow"/>
          <w:lang w:eastAsia="en-US"/>
        </w:rPr>
        <w:t>10</w:t>
      </w:r>
      <w:r w:rsidRPr="00B84D38">
        <w:rPr>
          <w:color w:val="000000"/>
          <w:sz w:val="22"/>
          <w:szCs w:val="22"/>
          <w:highlight w:val="yellow"/>
          <w:lang w:eastAsia="en-US"/>
        </w:rPr>
        <w:t>0% стоимости должен быть оплачен Заказчиком в течение 5 (пяти) рабочих дней с момента заключения договора</w:t>
      </w:r>
      <w:r w:rsidR="00C0295A">
        <w:rPr>
          <w:color w:val="000000"/>
          <w:sz w:val="22"/>
          <w:szCs w:val="22"/>
          <w:highlight w:val="yellow"/>
          <w:lang w:eastAsia="en-US"/>
        </w:rPr>
        <w:t xml:space="preserve"> на казначейский счет Поставщика</w:t>
      </w:r>
      <w:r w:rsidRPr="00B84D38">
        <w:rPr>
          <w:color w:val="000000"/>
          <w:sz w:val="22"/>
          <w:szCs w:val="22"/>
          <w:highlight w:val="yellow"/>
          <w:lang w:eastAsia="en-US"/>
        </w:rPr>
        <w:t xml:space="preserve">; </w:t>
      </w:r>
    </w:p>
    <w:p w14:paraId="56235817"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3.4. Оплата производится после предоставления Поставщиком Покупателю счета на оплату Продукции, товарной накладной по форме ТОРГ-12 (универсального передаточного документа) на Продукцию с отметкой Покупателя о приемке Продукции.</w:t>
      </w:r>
    </w:p>
    <w:p w14:paraId="24F75CB3" w14:textId="77777777" w:rsidR="001F3DAE" w:rsidRPr="00B84D38" w:rsidRDefault="001F3DAE" w:rsidP="001F3DAE">
      <w:pPr>
        <w:spacing w:after="326" w:line="250" w:lineRule="auto"/>
        <w:ind w:left="21" w:right="50" w:firstLine="681"/>
        <w:jc w:val="both"/>
        <w:rPr>
          <w:color w:val="000000"/>
          <w:sz w:val="22"/>
          <w:szCs w:val="22"/>
          <w:lang w:eastAsia="en-US"/>
        </w:rPr>
      </w:pPr>
      <w:r w:rsidRPr="00B84D38">
        <w:rPr>
          <w:color w:val="000000"/>
          <w:sz w:val="22"/>
          <w:szCs w:val="22"/>
          <w:lang w:eastAsia="en-US"/>
        </w:rPr>
        <w:t>3.5. Стороны обязуются при осуществлении расчетов по настоящему Договору, в платежных документах обязательно указывать следующие сведения: полное фирменное наименование Покупателя и Поставщика, номер и дату Договора, номер и дату соответствующей Спецификации, вид Продукции.</w:t>
      </w:r>
    </w:p>
    <w:p w14:paraId="40ABF98C" w14:textId="77777777" w:rsidR="001F3DAE" w:rsidRPr="00B84D38" w:rsidRDefault="001F3DAE" w:rsidP="001F3DAE">
      <w:pPr>
        <w:keepNext/>
        <w:keepLines/>
        <w:spacing w:after="29" w:line="264" w:lineRule="auto"/>
        <w:ind w:left="297" w:right="230" w:hanging="10"/>
        <w:jc w:val="center"/>
        <w:outlineLvl w:val="1"/>
        <w:rPr>
          <w:b/>
          <w:color w:val="000000"/>
          <w:sz w:val="22"/>
          <w:szCs w:val="22"/>
          <w:lang w:eastAsia="en-US"/>
        </w:rPr>
      </w:pPr>
      <w:r w:rsidRPr="00B84D38">
        <w:rPr>
          <w:b/>
          <w:color w:val="000000"/>
          <w:sz w:val="22"/>
          <w:szCs w:val="22"/>
          <w:lang w:eastAsia="en-US"/>
        </w:rPr>
        <w:t>4. КАЧЕСТВО И ГАРАНТИИ КАЧЕСТВА ПРОДУКЦИИ</w:t>
      </w:r>
    </w:p>
    <w:p w14:paraId="20914461"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4.1. Поставляемая Продукция по своим функциональным, техническим, качественным и эксплуатационным характеристикам должна соответствовать требованиям Договора, нормативно-технической документации на Продукцию, ГОСТ, ТУ, либо иным документам, указанным в Спецификации.</w:t>
      </w:r>
    </w:p>
    <w:p w14:paraId="7FF912E1" w14:textId="77777777" w:rsidR="001F3DAE" w:rsidRPr="00B84D38" w:rsidRDefault="001F3DAE" w:rsidP="001F3DAE">
      <w:pPr>
        <w:keepNext/>
        <w:keepLines/>
        <w:spacing w:after="29" w:line="264" w:lineRule="auto"/>
        <w:ind w:right="251" w:firstLine="567"/>
        <w:jc w:val="both"/>
        <w:outlineLvl w:val="2"/>
        <w:rPr>
          <w:color w:val="000000"/>
          <w:sz w:val="22"/>
          <w:szCs w:val="22"/>
          <w:lang w:eastAsia="en-US"/>
        </w:rPr>
      </w:pPr>
      <w:r w:rsidRPr="00B84D38">
        <w:rPr>
          <w:color w:val="000000"/>
          <w:sz w:val="22"/>
          <w:szCs w:val="22"/>
          <w:lang w:eastAsia="en-US"/>
        </w:rPr>
        <w:t>4.2. Одновременно с передачей Продукции Поставщик обязан передать Покупателю оригиналы или надлежащим образом заверенные копии документов, подтверждающих качество Продукции, и иные документы, поставляемые вместе с Продукцией - паспорта, руководство по эксплуатации или иные аналогичные документы на русском языке.</w:t>
      </w:r>
    </w:p>
    <w:p w14:paraId="1156332F" w14:textId="77777777" w:rsidR="001F3DAE" w:rsidRPr="00B84D38" w:rsidRDefault="001F3DAE" w:rsidP="001F3DAE">
      <w:pPr>
        <w:spacing w:after="34" w:line="250" w:lineRule="auto"/>
        <w:ind w:left="21" w:right="50" w:firstLine="681"/>
        <w:jc w:val="both"/>
        <w:rPr>
          <w:color w:val="000000"/>
          <w:sz w:val="22"/>
          <w:szCs w:val="22"/>
          <w:lang w:eastAsia="en-US"/>
        </w:rPr>
      </w:pPr>
      <w:r w:rsidRPr="00B84D38">
        <w:rPr>
          <w:color w:val="000000"/>
          <w:sz w:val="22"/>
          <w:szCs w:val="22"/>
          <w:lang w:eastAsia="en-US"/>
        </w:rPr>
        <w:t>4.3. Поставщик гарантирует, что Продукция, поставленная в рамках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2F645DA" w14:textId="77777777" w:rsidR="001F3DAE" w:rsidRPr="00B84D38" w:rsidRDefault="001F3DAE" w:rsidP="001F3DAE">
      <w:pPr>
        <w:spacing w:after="42" w:line="250" w:lineRule="auto"/>
        <w:ind w:right="50" w:firstLine="709"/>
        <w:jc w:val="both"/>
        <w:rPr>
          <w:color w:val="000000"/>
          <w:sz w:val="22"/>
          <w:szCs w:val="22"/>
          <w:lang w:eastAsia="en-US"/>
        </w:rPr>
      </w:pPr>
      <w:r w:rsidRPr="00B84D38">
        <w:rPr>
          <w:color w:val="000000"/>
          <w:sz w:val="22"/>
          <w:szCs w:val="22"/>
          <w:lang w:eastAsia="en-US"/>
        </w:rPr>
        <w:t>4.4. Гарантийный срок на поставленную Продукцию устанавливается согласно условиям поставляемой Продукции заводом-изготовителем.</w:t>
      </w:r>
    </w:p>
    <w:p w14:paraId="2CE28361"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4.5. Поставщик гарантирует патентную чистоту поставляемой Продукции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14:paraId="08D6E926" w14:textId="77777777" w:rsidR="001F3DAE" w:rsidRPr="00B84D38" w:rsidRDefault="001F3DAE" w:rsidP="001F3DAE">
      <w:pPr>
        <w:keepNext/>
        <w:keepLines/>
        <w:spacing w:after="29" w:line="264" w:lineRule="auto"/>
        <w:ind w:left="297" w:right="266" w:hanging="10"/>
        <w:jc w:val="center"/>
        <w:outlineLvl w:val="1"/>
        <w:rPr>
          <w:b/>
          <w:color w:val="000000"/>
          <w:sz w:val="22"/>
          <w:szCs w:val="22"/>
          <w:lang w:eastAsia="en-US"/>
        </w:rPr>
      </w:pPr>
      <w:r w:rsidRPr="00B84D38">
        <w:rPr>
          <w:b/>
          <w:color w:val="000000"/>
          <w:sz w:val="22"/>
          <w:szCs w:val="22"/>
          <w:lang w:eastAsia="en-US"/>
        </w:rPr>
        <w:t>5. ПРИЕМКА ПРОДУКЦИИ</w:t>
      </w:r>
    </w:p>
    <w:p w14:paraId="37BB002A"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 xml:space="preserve">5.1. Приемка по количеству Продукции осуществляется в соответствии с Инструкцией о порядке приемки продукции </w:t>
      </w:r>
      <w:proofErr w:type="spellStart"/>
      <w:r w:rsidRPr="00B84D38">
        <w:rPr>
          <w:color w:val="000000"/>
          <w:sz w:val="22"/>
          <w:szCs w:val="22"/>
          <w:lang w:eastAsia="en-US"/>
        </w:rPr>
        <w:t>производственно</w:t>
      </w:r>
      <w:proofErr w:type="spellEnd"/>
      <w:r w:rsidRPr="00B84D38">
        <w:rPr>
          <w:color w:val="000000"/>
          <w:sz w:val="22"/>
          <w:szCs w:val="22"/>
          <w:lang w:eastAsia="en-US"/>
        </w:rPr>
        <w:t xml:space="preserve"> – технического назначения и Товаров народного потребления по </w:t>
      </w:r>
      <w:r w:rsidRPr="00B84D38">
        <w:rPr>
          <w:color w:val="000000"/>
          <w:sz w:val="22"/>
          <w:szCs w:val="22"/>
          <w:lang w:eastAsia="en-US"/>
        </w:rPr>
        <w:lastRenderedPageBreak/>
        <w:t xml:space="preserve">количеству, утверждённой Постановлением Госарбитража при Совете Министров СССР от 15.06.1965 № П-6. </w:t>
      </w:r>
      <w:proofErr w:type="spellStart"/>
      <w:r w:rsidRPr="00B84D38">
        <w:rPr>
          <w:color w:val="000000"/>
          <w:sz w:val="22"/>
          <w:szCs w:val="22"/>
          <w:lang w:eastAsia="en-US"/>
        </w:rPr>
        <w:t>Внутритарная</w:t>
      </w:r>
      <w:proofErr w:type="spellEnd"/>
      <w:r w:rsidRPr="00B84D38">
        <w:rPr>
          <w:color w:val="000000"/>
          <w:sz w:val="22"/>
          <w:szCs w:val="22"/>
          <w:lang w:eastAsia="en-US"/>
        </w:rPr>
        <w:t xml:space="preserve">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Кроме того, при поставке значительного объема Продукции, не позволяющего произвести единовременный стопроцентный </w:t>
      </w:r>
      <w:proofErr w:type="spellStart"/>
      <w:r w:rsidRPr="00B84D38">
        <w:rPr>
          <w:color w:val="000000"/>
          <w:sz w:val="22"/>
          <w:szCs w:val="22"/>
          <w:lang w:eastAsia="en-US"/>
        </w:rPr>
        <w:t>внутритарный</w:t>
      </w:r>
      <w:proofErr w:type="spellEnd"/>
      <w:r w:rsidRPr="00B84D38">
        <w:rPr>
          <w:color w:val="000000"/>
          <w:sz w:val="22"/>
          <w:szCs w:val="22"/>
          <w:lang w:eastAsia="en-US"/>
        </w:rPr>
        <w:t xml:space="preserve"> пересчет, допускаются перерывы в приемке Продукции с обеспечением условий по ее ответственному хранению. Приемка Продукции по комплектности и качеству производится в порядке, предусмотренном действующим законодательством РФ, в течение 15 (пятнадцати) рабочих дней с момента поступления Продукции на склад Покупателя.</w:t>
      </w:r>
    </w:p>
    <w:p w14:paraId="1C022F4A"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5.2. В случае выявления, при приемке Продукции, несоответствий качества и/или количества и/или комплектности Продукции условиям настоящего Договора, Покупатель вправе приостановить приемку Продукции, обеспечив сохранение выявленных недостатков в неизменном виде.</w:t>
      </w:r>
    </w:p>
    <w:p w14:paraId="1ADCF0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Покупатель обязан направить уведомление Поставщику о выявленных недостатках. Уведомление о вызове представителя Поставщика направляется посредством факсимильной/ почтовой связи или по электронному адресу, указанному в реквизитах Поставщика (разд. 10 настоящего Договора).</w:t>
      </w:r>
    </w:p>
    <w:p w14:paraId="28F663A2"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Полномочный представитель Поставщика обязан явиться для участия в составлении соответствующего Акта о выявленных недостатках в течение 3 (трех) рабочих дней, с момента направления уведомления Покупателем.</w:t>
      </w:r>
    </w:p>
    <w:p w14:paraId="0F5918AB" w14:textId="77777777" w:rsidR="001F3DAE" w:rsidRPr="00B84D38" w:rsidRDefault="001F3DAE" w:rsidP="001F3DAE">
      <w:pPr>
        <w:spacing w:after="42" w:line="250" w:lineRule="auto"/>
        <w:ind w:left="21" w:right="50" w:firstLine="681"/>
        <w:jc w:val="both"/>
        <w:rPr>
          <w:color w:val="000000"/>
          <w:sz w:val="22"/>
          <w:szCs w:val="22"/>
          <w:lang w:eastAsia="en-US"/>
        </w:rPr>
      </w:pPr>
      <w:r w:rsidRPr="00B84D38">
        <w:rPr>
          <w:color w:val="000000"/>
          <w:sz w:val="22"/>
          <w:szCs w:val="22"/>
          <w:lang w:eastAsia="en-US"/>
        </w:rPr>
        <w:t>В случае неявки представителя Поставщика в срок, установленный Договором, Акт о выявленных недостатках Продукции составляется Покупателем в одностороннем порядке. Указанный Акт является надлежащим доказательством факта поставки Продукции, несоответствующей условиям Договора.</w:t>
      </w:r>
    </w:p>
    <w:p w14:paraId="6814114A" w14:textId="77777777" w:rsidR="001F3DAE" w:rsidRPr="00B84D38" w:rsidRDefault="001F3DAE" w:rsidP="001F3DAE">
      <w:pPr>
        <w:spacing w:after="43" w:line="250" w:lineRule="auto"/>
        <w:ind w:left="21" w:right="50" w:firstLine="681"/>
        <w:jc w:val="both"/>
        <w:rPr>
          <w:color w:val="000000"/>
          <w:sz w:val="22"/>
          <w:szCs w:val="22"/>
          <w:lang w:eastAsia="en-US"/>
        </w:rPr>
      </w:pPr>
      <w:r w:rsidRPr="00B84D38">
        <w:rPr>
          <w:color w:val="000000"/>
          <w:sz w:val="22"/>
          <w:szCs w:val="22"/>
          <w:lang w:eastAsia="en-US"/>
        </w:rPr>
        <w:t>5.3. Поставщик, в срок не более 20 (двадцати) календарных дней с момента составления Акта о выявленных недостатках, обязан произвести замену несоответствующей Продукции на качественную Продукцию, осуществить допоставку и [или доукомплектование Продукции.</w:t>
      </w:r>
    </w:p>
    <w:p w14:paraId="64E8346C" w14:textId="77777777" w:rsidR="001F3DAE" w:rsidRPr="00B84D38" w:rsidRDefault="001F3DAE" w:rsidP="001F3DAE">
      <w:pPr>
        <w:spacing w:after="296" w:line="250" w:lineRule="auto"/>
        <w:ind w:left="21" w:right="50" w:firstLine="681"/>
        <w:jc w:val="both"/>
        <w:rPr>
          <w:color w:val="000000"/>
          <w:sz w:val="22"/>
          <w:szCs w:val="22"/>
          <w:lang w:eastAsia="en-US"/>
        </w:rPr>
      </w:pPr>
      <w:r w:rsidRPr="00B84D38">
        <w:rPr>
          <w:color w:val="000000"/>
          <w:sz w:val="22"/>
          <w:szCs w:val="22"/>
          <w:lang w:eastAsia="en-US"/>
        </w:rPr>
        <w:t>5.4. В случаях, предусмотренных настоящим Договором, для фиксации (подтверждения, признания) каких-либо фактов, имеющих юридическое значение, Стороны подписывают соответствующие акты, которые фиксируют указанные в них факты и/или их признание (подтверждение) Сторонами. Срок для подписания - в течение 3 (трех) рабочих дней с даты получения Акта.</w:t>
      </w:r>
    </w:p>
    <w:p w14:paraId="3B300CB2" w14:textId="77777777" w:rsidR="001F3DAE" w:rsidRPr="00B84D38" w:rsidRDefault="001F3DAE" w:rsidP="001F3DAE">
      <w:pPr>
        <w:keepNext/>
        <w:keepLines/>
        <w:spacing w:after="29" w:line="264" w:lineRule="auto"/>
        <w:ind w:left="297" w:right="302" w:hanging="10"/>
        <w:jc w:val="center"/>
        <w:outlineLvl w:val="1"/>
        <w:rPr>
          <w:b/>
          <w:color w:val="000000"/>
          <w:sz w:val="22"/>
          <w:szCs w:val="22"/>
          <w:lang w:eastAsia="en-US"/>
        </w:rPr>
      </w:pPr>
      <w:r w:rsidRPr="00B84D38">
        <w:rPr>
          <w:b/>
          <w:color w:val="000000"/>
          <w:sz w:val="22"/>
          <w:szCs w:val="22"/>
          <w:lang w:eastAsia="en-US"/>
        </w:rPr>
        <w:t>6. ОТВЕТСТВЕННОСТЬ СТОРОН</w:t>
      </w:r>
    </w:p>
    <w:p w14:paraId="3D63CD00" w14:textId="77777777" w:rsidR="001F3DAE" w:rsidRPr="00B84D38" w:rsidRDefault="001F3DAE" w:rsidP="001F3DAE">
      <w:pPr>
        <w:spacing w:after="45" w:line="250" w:lineRule="auto"/>
        <w:ind w:left="21" w:right="50" w:firstLine="681"/>
        <w:jc w:val="both"/>
        <w:rPr>
          <w:color w:val="000000"/>
          <w:sz w:val="22"/>
          <w:szCs w:val="22"/>
          <w:lang w:eastAsia="en-US"/>
        </w:rPr>
      </w:pPr>
      <w:r w:rsidRPr="00B84D38">
        <w:rPr>
          <w:color w:val="000000"/>
          <w:sz w:val="22"/>
          <w:szCs w:val="22"/>
          <w:lang w:eastAsia="en-US"/>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8BC45A7"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6.2. В случае нарушения сроков поставки Продукции, предусмотренных условиями настоящего Договора, Покупатель вправе потребовать уплату неустойки. Размер такой неустойки устанавливается в размере 0,01% от цены Продукции, в отношении которой наступила просрочка, за каждый день просрочки поставки, но не более 10% от суммы задолженности.</w:t>
      </w:r>
    </w:p>
    <w:p w14:paraId="29C8EA8A"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6.3. В случае просрочки исполнения Покупателем обязательства по окончательному расчету за поставленную Продукцию, Поставщик вправе потребовать уплату неустойки за каждый день просрочки исполнения обязательства. Размер такой неустойки устанавливается Договором в размере 0,01% от суммы задолженности за каждый день просрочки, но не более 10% от суммы задолженности.</w:t>
      </w:r>
    </w:p>
    <w:p w14:paraId="1BDA85EE"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6.4. В случае поставки Продукции, несоответствующей требованиям Договора к качеству Продукции, Покупатель вправе возвратить такую Продукцию Поставщику. Поставщик обязан принять такую Продукцию и в течение 5 (пяти) дней с момента поступления соответствующего требования осуществить возврат Покупателю уплаченных им за Продукцию денежных средств, а также уплатить Покупателю штраф в размере 5% от стоимости некачественной Продукции за каждый факт поставки Продукции, несоответствующей требованиям Договора к качеству Продукции.</w:t>
      </w:r>
    </w:p>
    <w:p w14:paraId="2950AE1D"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6.5. Покупатель вправе не выбирать весь заявленный объем Товара, указанный в Договоре.</w:t>
      </w:r>
    </w:p>
    <w:p w14:paraId="17346049" w14:textId="77777777" w:rsidR="001F3DAE" w:rsidRPr="00B84D38" w:rsidRDefault="001F3DAE" w:rsidP="001F3DAE">
      <w:pPr>
        <w:spacing w:after="273" w:line="250" w:lineRule="auto"/>
        <w:ind w:left="21" w:right="50" w:firstLine="681"/>
        <w:jc w:val="both"/>
        <w:rPr>
          <w:color w:val="000000"/>
          <w:sz w:val="22"/>
          <w:szCs w:val="22"/>
          <w:lang w:eastAsia="en-US"/>
        </w:rPr>
      </w:pPr>
    </w:p>
    <w:p w14:paraId="4F5E8A83" w14:textId="77777777" w:rsidR="001F3DAE" w:rsidRPr="00B84D38" w:rsidRDefault="001F3DAE" w:rsidP="001F3DAE">
      <w:pPr>
        <w:keepNext/>
        <w:keepLines/>
        <w:spacing w:after="29" w:line="264" w:lineRule="auto"/>
        <w:ind w:left="297" w:right="201" w:hanging="10"/>
        <w:jc w:val="center"/>
        <w:outlineLvl w:val="1"/>
        <w:rPr>
          <w:b/>
          <w:color w:val="000000"/>
          <w:sz w:val="22"/>
          <w:szCs w:val="22"/>
          <w:lang w:eastAsia="en-US"/>
        </w:rPr>
      </w:pPr>
      <w:r w:rsidRPr="00B84D38">
        <w:rPr>
          <w:b/>
          <w:color w:val="000000"/>
          <w:sz w:val="22"/>
          <w:szCs w:val="22"/>
          <w:lang w:eastAsia="en-US"/>
        </w:rPr>
        <w:t>7. РАЗРЕШЕНИЕ СПОРОВ</w:t>
      </w:r>
    </w:p>
    <w:p w14:paraId="78F4B40E" w14:textId="77777777" w:rsidR="001F3DAE" w:rsidRPr="00B84D38" w:rsidRDefault="001F3DAE" w:rsidP="001F3DAE">
      <w:pPr>
        <w:spacing w:after="32" w:line="250" w:lineRule="auto"/>
        <w:ind w:left="21" w:right="50" w:firstLine="681"/>
        <w:jc w:val="both"/>
        <w:rPr>
          <w:color w:val="000000"/>
          <w:sz w:val="22"/>
          <w:szCs w:val="22"/>
          <w:lang w:eastAsia="en-US"/>
        </w:rPr>
      </w:pPr>
      <w:r w:rsidRPr="00B84D38">
        <w:rPr>
          <w:color w:val="000000"/>
          <w:sz w:val="22"/>
          <w:szCs w:val="22"/>
          <w:lang w:eastAsia="en-US"/>
        </w:rPr>
        <w:t>7.1. Все споры и разногласия, которые могут возникнуть между сторонами, будут разрешаться в претензионном порядке. Срок для ответа на претензию 20 (двадцать) дней с момента ее получения контрагентом.</w:t>
      </w:r>
    </w:p>
    <w:p w14:paraId="5EAC6F93" w14:textId="77777777" w:rsidR="001F3DAE" w:rsidRPr="00B84D38" w:rsidRDefault="001F3DAE" w:rsidP="001F3DAE">
      <w:pPr>
        <w:spacing w:after="38" w:line="250" w:lineRule="auto"/>
        <w:ind w:left="21" w:right="50" w:firstLine="681"/>
        <w:jc w:val="both"/>
        <w:rPr>
          <w:color w:val="000000"/>
          <w:sz w:val="22"/>
          <w:szCs w:val="22"/>
          <w:lang w:eastAsia="en-US"/>
        </w:rPr>
      </w:pPr>
      <w:r w:rsidRPr="00B84D38">
        <w:rPr>
          <w:color w:val="000000"/>
          <w:sz w:val="22"/>
          <w:szCs w:val="22"/>
          <w:lang w:eastAsia="en-US"/>
        </w:rPr>
        <w:t>7.2. При неурегулировании спорных вопросов в претензионном порядке, спор передается на разрешение Арбитражного суда Кировской области.</w:t>
      </w:r>
    </w:p>
    <w:p w14:paraId="5FEB973D" w14:textId="77777777" w:rsidR="000D45A3" w:rsidRDefault="000D45A3" w:rsidP="000D45A3">
      <w:pPr>
        <w:tabs>
          <w:tab w:val="center" w:pos="7667"/>
          <w:tab w:val="right" w:pos="10743"/>
        </w:tabs>
        <w:spacing w:line="265" w:lineRule="auto"/>
        <w:jc w:val="center"/>
        <w:rPr>
          <w:color w:val="000000"/>
          <w:sz w:val="22"/>
          <w:szCs w:val="22"/>
          <w:lang w:eastAsia="en-US"/>
        </w:rPr>
      </w:pPr>
    </w:p>
    <w:p w14:paraId="1BA2DBFD" w14:textId="31608C1A" w:rsidR="001F3DAE" w:rsidRPr="00B84D38" w:rsidRDefault="001F3DAE" w:rsidP="000D45A3">
      <w:pPr>
        <w:tabs>
          <w:tab w:val="center" w:pos="7667"/>
          <w:tab w:val="right" w:pos="10743"/>
        </w:tabs>
        <w:spacing w:line="265" w:lineRule="auto"/>
        <w:jc w:val="center"/>
        <w:rPr>
          <w:b/>
          <w:color w:val="000000"/>
          <w:sz w:val="22"/>
          <w:szCs w:val="22"/>
          <w:lang w:eastAsia="en-US"/>
        </w:rPr>
      </w:pPr>
      <w:r w:rsidRPr="00B84D38">
        <w:rPr>
          <w:b/>
          <w:color w:val="000000"/>
          <w:sz w:val="22"/>
          <w:szCs w:val="22"/>
          <w:lang w:eastAsia="en-US"/>
        </w:rPr>
        <w:t>8. ФОРС - МАЖОР</w:t>
      </w:r>
    </w:p>
    <w:p w14:paraId="51DE28F0" w14:textId="77777777" w:rsidR="001F3DAE" w:rsidRPr="00B84D38" w:rsidRDefault="001F3DAE" w:rsidP="001F3DAE">
      <w:pPr>
        <w:spacing w:after="30" w:line="250" w:lineRule="auto"/>
        <w:ind w:left="21" w:right="50" w:firstLine="681"/>
        <w:jc w:val="both"/>
        <w:rPr>
          <w:color w:val="000000"/>
          <w:sz w:val="22"/>
          <w:szCs w:val="22"/>
          <w:lang w:eastAsia="en-US"/>
        </w:rPr>
      </w:pPr>
      <w:r w:rsidRPr="00B84D38">
        <w:rPr>
          <w:color w:val="000000"/>
          <w:sz w:val="22"/>
          <w:szCs w:val="22"/>
          <w:lang w:eastAsia="en-US"/>
        </w:rPr>
        <w:t>8.1.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(чрезвычайных и непредотвратимых),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14:paraId="52D56996"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8.2. Если невозможность полного или частичного выполнения обязательств для одной из Сторон длится более 2 (двух) месяцев, другая Сторона имеет право полностью или частично аннулировать настоящий Договор без обязательств о возмещении возможных убытков.</w:t>
      </w:r>
    </w:p>
    <w:p w14:paraId="604076A2" w14:textId="77777777" w:rsidR="001F3DAE" w:rsidRPr="00B84D38" w:rsidRDefault="001F3DAE" w:rsidP="001F3DAE">
      <w:pPr>
        <w:spacing w:after="4" w:line="250" w:lineRule="auto"/>
        <w:ind w:left="21" w:right="50" w:firstLine="681"/>
        <w:jc w:val="both"/>
        <w:rPr>
          <w:color w:val="000000"/>
          <w:sz w:val="22"/>
          <w:szCs w:val="22"/>
          <w:lang w:eastAsia="en-US"/>
        </w:rPr>
      </w:pPr>
    </w:p>
    <w:p w14:paraId="24140835" w14:textId="77777777" w:rsidR="001F3DAE" w:rsidRPr="00697617" w:rsidRDefault="001F3DAE" w:rsidP="001F3DAE">
      <w:pPr>
        <w:keepNext/>
        <w:keepLines/>
        <w:spacing w:after="29" w:line="264" w:lineRule="auto"/>
        <w:ind w:left="297" w:right="280" w:hanging="10"/>
        <w:jc w:val="center"/>
        <w:outlineLvl w:val="1"/>
        <w:rPr>
          <w:b/>
          <w:color w:val="000000"/>
          <w:sz w:val="22"/>
          <w:szCs w:val="22"/>
          <w:lang w:eastAsia="en-US"/>
        </w:rPr>
      </w:pPr>
      <w:r w:rsidRPr="00697617">
        <w:rPr>
          <w:b/>
          <w:color w:val="000000"/>
          <w:sz w:val="22"/>
          <w:szCs w:val="22"/>
          <w:lang w:eastAsia="en-US"/>
        </w:rPr>
        <w:t>9. ЗАКЛЮЧИТЕЛЬНЫЕ ПОЛОЖЕНИЯ</w:t>
      </w:r>
    </w:p>
    <w:p w14:paraId="2F8BAD8D" w14:textId="77777777" w:rsidR="001F3DAE" w:rsidRPr="00B84D38" w:rsidRDefault="001F3DAE" w:rsidP="001F3DAE">
      <w:pPr>
        <w:spacing w:after="31" w:line="250" w:lineRule="auto"/>
        <w:ind w:left="21" w:right="50" w:firstLine="681"/>
        <w:jc w:val="both"/>
        <w:rPr>
          <w:color w:val="000000"/>
          <w:sz w:val="22"/>
          <w:szCs w:val="22"/>
          <w:lang w:eastAsia="en-US"/>
        </w:rPr>
      </w:pPr>
      <w:r w:rsidRPr="00B84D38">
        <w:rPr>
          <w:color w:val="000000"/>
          <w:sz w:val="22"/>
          <w:szCs w:val="22"/>
          <w:lang w:eastAsia="en-US"/>
        </w:rPr>
        <w:t>9.1. Документы, переданные посредством факсимильной связи, либо электронной почтой имеют юридическую силу, если можно достоверно установить, что документы исходят от сторон по Договору и подписаны уполномоченными представителями сторон. Дальнейшее предоставление оригиналов документов является обязательным в течение 30 (тридцати) дней с момента предоставления документов, переданных посредством факса либо электронной почтой.</w:t>
      </w:r>
    </w:p>
    <w:p w14:paraId="1C8DBAF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 xml:space="preserve">9.2. Договор вступает в силу с момента его подписания Сторонами и действует до 31.12.2025 </w:t>
      </w:r>
      <w:proofErr w:type="gramStart"/>
      <w:r w:rsidRPr="00B84D38">
        <w:rPr>
          <w:color w:val="000000"/>
          <w:sz w:val="22"/>
          <w:szCs w:val="22"/>
          <w:lang w:eastAsia="en-US"/>
        </w:rPr>
        <w:t>г..</w:t>
      </w:r>
      <w:proofErr w:type="gramEnd"/>
      <w:r w:rsidRPr="00B84D38">
        <w:rPr>
          <w:color w:val="000000"/>
          <w:sz w:val="22"/>
          <w:szCs w:val="22"/>
          <w:lang w:eastAsia="en-US"/>
        </w:rPr>
        <w:t xml:space="preserve">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14:paraId="044A46D0"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9.3. Договор составлен в двух экземплярах, имеющих одинаковую юридическую силу, по одному экземпляру для каждой из сторон.</w:t>
      </w:r>
    </w:p>
    <w:p w14:paraId="308B4C11"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9.4. ООО «Кировский компрессор» стремится иметь деловые отношения с контрагентами, поддерживающими требования антикоррупционного законодательства или контрагентами, декларирующими непринятие коррупции.</w:t>
      </w:r>
    </w:p>
    <w:p w14:paraId="6AF1EBFC"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В соответствии с антикоррупционной оговоркой при возникновении у ООО «Кировский компрессор» объективных (разумных и добросовестных) свидетельств нарушения контрагентами антикоррупционного законодательства, в адрес такого контрагента направляется соответствующее уведомление с требованием в установленный срок предоставить соответствующие разъяснения.</w:t>
      </w:r>
    </w:p>
    <w:p w14:paraId="5DF70B25"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Непредоставление достаточных доказательств, определенно подтверждающих отсутствие нарушения антикоррупционного законодательства, является нарушением существенных условий договора (существенным нарушением), заключенного между ООО «Кировский компрессор» и контрагентом, и дает право ООО «Кировский компрессор» расторгнуть такой договор в одностороннем внесудебном порядке (полностью отказаться от исполнения договора), либо приостановить его дальнейшее исполнение в одностороннем порядке в какой-то его части (частично отказаться от исполнения договора) путем направления соответствующего письменного уведомления.</w:t>
      </w:r>
    </w:p>
    <w:p w14:paraId="69737A28" w14:textId="77777777" w:rsidR="001F3DAE" w:rsidRPr="00B84D38" w:rsidRDefault="001F3DAE" w:rsidP="001F3DAE">
      <w:pPr>
        <w:spacing w:after="308" w:line="250" w:lineRule="auto"/>
        <w:ind w:left="21" w:right="50" w:firstLine="681"/>
        <w:jc w:val="both"/>
        <w:rPr>
          <w:color w:val="000000"/>
          <w:sz w:val="22"/>
          <w:szCs w:val="22"/>
          <w:lang w:eastAsia="en-US"/>
        </w:rPr>
      </w:pPr>
      <w:r w:rsidRPr="00B84D38">
        <w:rPr>
          <w:color w:val="000000"/>
          <w:sz w:val="22"/>
          <w:szCs w:val="22"/>
          <w:lang w:eastAsia="en-US"/>
        </w:rPr>
        <w:t>Договор считается соответственно расторгнутым либо исполнение обязательств стороны-инициатора по нему приостановленным с момента, указанного в письменном уведомлении, но не ранее чем по истечении 10 (десяти) дней с момента получения оригинала указанного уведомления. В этом случае ООО «Кировский компрессор» в соответствии с положениями антикоррупционной оговорки, вправе требовать от своего контрагента возмещения реального ущерба, возникшего в результате такого расторжения.</w:t>
      </w:r>
    </w:p>
    <w:p w14:paraId="0E224A11" w14:textId="77777777" w:rsidR="001F3DAE" w:rsidRPr="00B84D38" w:rsidRDefault="001F3DAE" w:rsidP="001F3DAE">
      <w:pPr>
        <w:shd w:val="clear" w:color="auto" w:fill="FFFFFF"/>
        <w:tabs>
          <w:tab w:val="left" w:pos="792"/>
        </w:tabs>
        <w:spacing w:before="240" w:after="60" w:line="280" w:lineRule="exact"/>
        <w:jc w:val="center"/>
        <w:rPr>
          <w:b/>
          <w:spacing w:val="-1"/>
          <w:sz w:val="22"/>
          <w:szCs w:val="22"/>
        </w:rPr>
      </w:pPr>
      <w:r w:rsidRPr="00B84D38">
        <w:rPr>
          <w:b/>
          <w:spacing w:val="-1"/>
          <w:sz w:val="22"/>
          <w:szCs w:val="22"/>
        </w:rPr>
        <w:t>10. ПРИЛОЖЕНИЯ</w:t>
      </w:r>
    </w:p>
    <w:p w14:paraId="5480397A" w14:textId="77777777" w:rsidR="001F3DAE" w:rsidRPr="00B84D38" w:rsidRDefault="001F3DAE" w:rsidP="001F3DAE">
      <w:pPr>
        <w:shd w:val="clear" w:color="auto" w:fill="FFFFFF"/>
        <w:tabs>
          <w:tab w:val="left" w:pos="974"/>
        </w:tabs>
        <w:spacing w:line="280" w:lineRule="exact"/>
        <w:ind w:left="360"/>
        <w:jc w:val="both"/>
        <w:rPr>
          <w:spacing w:val="2"/>
          <w:sz w:val="22"/>
          <w:szCs w:val="22"/>
        </w:rPr>
      </w:pPr>
      <w:r w:rsidRPr="00B84D38">
        <w:rPr>
          <w:spacing w:val="2"/>
          <w:sz w:val="22"/>
          <w:szCs w:val="22"/>
        </w:rPr>
        <w:t xml:space="preserve">  10.1. Приложение №1: Спецификация (форма) на 1 листе.</w:t>
      </w:r>
    </w:p>
    <w:p w14:paraId="5629EC37" w14:textId="77777777" w:rsidR="001F3DAE" w:rsidRPr="00B84D38" w:rsidRDefault="001F3DAE" w:rsidP="001F3DAE">
      <w:pPr>
        <w:pStyle w:val="1"/>
        <w:tabs>
          <w:tab w:val="left" w:pos="720"/>
          <w:tab w:val="num" w:pos="1080"/>
        </w:tabs>
        <w:ind w:left="360"/>
        <w:jc w:val="both"/>
        <w:rPr>
          <w:color w:val="000000"/>
          <w:szCs w:val="22"/>
        </w:rPr>
      </w:pPr>
    </w:p>
    <w:p w14:paraId="2157CD3A" w14:textId="77777777" w:rsidR="001F3DAE" w:rsidRPr="00B84D38" w:rsidRDefault="001F3DAE" w:rsidP="001F3DAE">
      <w:pPr>
        <w:ind w:left="360"/>
        <w:jc w:val="center"/>
        <w:rPr>
          <w:b/>
          <w:color w:val="000000"/>
          <w:sz w:val="22"/>
          <w:szCs w:val="22"/>
        </w:rPr>
      </w:pPr>
      <w:r w:rsidRPr="00B84D38">
        <w:rPr>
          <w:b/>
          <w:color w:val="000000"/>
          <w:sz w:val="22"/>
          <w:szCs w:val="22"/>
        </w:rPr>
        <w:t>11. Адреса, реквизиты и подписи сторон</w:t>
      </w:r>
    </w:p>
    <w:p w14:paraId="4068FC58" w14:textId="77777777" w:rsidR="001F3DAE" w:rsidRPr="00B84D38" w:rsidRDefault="001F3DAE" w:rsidP="001F3DAE">
      <w:pPr>
        <w:rPr>
          <w:b/>
          <w:color w:val="000000"/>
          <w:sz w:val="22"/>
          <w:szCs w:val="22"/>
        </w:rPr>
      </w:pPr>
    </w:p>
    <w:tbl>
      <w:tblPr>
        <w:tblW w:w="10301" w:type="dxa"/>
        <w:tblLook w:val="01E0" w:firstRow="1" w:lastRow="1" w:firstColumn="1" w:lastColumn="1" w:noHBand="0" w:noVBand="0"/>
      </w:tblPr>
      <w:tblGrid>
        <w:gridCol w:w="5346"/>
        <w:gridCol w:w="4955"/>
      </w:tblGrid>
      <w:tr w:rsidR="001F3DAE" w:rsidRPr="00B84D38" w14:paraId="22CE46A7" w14:textId="77777777" w:rsidTr="003959D4">
        <w:trPr>
          <w:trHeight w:val="183"/>
        </w:trPr>
        <w:tc>
          <w:tcPr>
            <w:tcW w:w="5346" w:type="dxa"/>
            <w:shd w:val="clear" w:color="auto" w:fill="auto"/>
          </w:tcPr>
          <w:p w14:paraId="663ADCDB" w14:textId="77777777" w:rsidR="001F3DAE" w:rsidRPr="00B84D38" w:rsidRDefault="001F3DAE" w:rsidP="003959D4">
            <w:pPr>
              <w:widowControl w:val="0"/>
              <w:shd w:val="clear" w:color="auto" w:fill="FFFFFF"/>
              <w:tabs>
                <w:tab w:val="left" w:pos="792"/>
              </w:tabs>
              <w:snapToGrid w:val="0"/>
              <w:rPr>
                <w:b/>
                <w:spacing w:val="-1"/>
                <w:sz w:val="22"/>
                <w:szCs w:val="22"/>
              </w:rPr>
            </w:pPr>
            <w:r w:rsidRPr="00B84D38">
              <w:rPr>
                <w:b/>
                <w:spacing w:val="-1"/>
                <w:sz w:val="22"/>
                <w:szCs w:val="22"/>
              </w:rPr>
              <w:t>ПОСТАВЩИК:</w:t>
            </w:r>
          </w:p>
        </w:tc>
        <w:tc>
          <w:tcPr>
            <w:tcW w:w="4955" w:type="dxa"/>
            <w:shd w:val="clear" w:color="auto" w:fill="auto"/>
            <w:vAlign w:val="center"/>
          </w:tcPr>
          <w:p w14:paraId="7B37B2AB" w14:textId="4A2A1480" w:rsidR="00697617" w:rsidRPr="00B84D38" w:rsidRDefault="001F3DAE" w:rsidP="00697617">
            <w:pPr>
              <w:widowControl w:val="0"/>
              <w:shd w:val="clear" w:color="auto" w:fill="FFFFFF"/>
              <w:tabs>
                <w:tab w:val="left" w:pos="792"/>
              </w:tabs>
              <w:snapToGrid w:val="0"/>
              <w:rPr>
                <w:b/>
                <w:spacing w:val="-1"/>
                <w:sz w:val="22"/>
                <w:szCs w:val="22"/>
              </w:rPr>
            </w:pPr>
            <w:r w:rsidRPr="00B84D38">
              <w:rPr>
                <w:b/>
                <w:spacing w:val="-1"/>
                <w:sz w:val="22"/>
                <w:szCs w:val="22"/>
              </w:rPr>
              <w:t>ПОКУПАТЕЛЬ:</w:t>
            </w:r>
          </w:p>
        </w:tc>
      </w:tr>
      <w:tr w:rsidR="001F3DAE" w:rsidRPr="00B84D38" w14:paraId="278E123B" w14:textId="77777777" w:rsidTr="003959D4">
        <w:trPr>
          <w:trHeight w:val="3636"/>
        </w:trPr>
        <w:tc>
          <w:tcPr>
            <w:tcW w:w="5346" w:type="dxa"/>
            <w:shd w:val="clear" w:color="auto" w:fill="auto"/>
          </w:tcPr>
          <w:p w14:paraId="5E794A4F" w14:textId="77777777" w:rsidR="001F3DAE" w:rsidRPr="00B84D38" w:rsidRDefault="001F3DAE" w:rsidP="003959D4">
            <w:pPr>
              <w:widowControl w:val="0"/>
              <w:shd w:val="clear" w:color="auto" w:fill="FFFFFF"/>
              <w:tabs>
                <w:tab w:val="left" w:pos="792"/>
              </w:tabs>
              <w:snapToGrid w:val="0"/>
              <w:spacing w:line="247" w:lineRule="auto"/>
              <w:rPr>
                <w:bCs/>
                <w:spacing w:val="-1"/>
                <w:sz w:val="22"/>
                <w:szCs w:val="22"/>
              </w:rPr>
            </w:pPr>
          </w:p>
        </w:tc>
        <w:tc>
          <w:tcPr>
            <w:tcW w:w="4955" w:type="dxa"/>
            <w:shd w:val="clear" w:color="auto" w:fill="auto"/>
          </w:tcPr>
          <w:p w14:paraId="6E24AA23" w14:textId="77777777" w:rsidR="001F3DAE" w:rsidRDefault="001F3DAE" w:rsidP="003959D4">
            <w:pPr>
              <w:widowControl w:val="0"/>
              <w:snapToGrid w:val="0"/>
              <w:spacing w:line="276" w:lineRule="auto"/>
              <w:rPr>
                <w:b/>
                <w:sz w:val="22"/>
                <w:szCs w:val="22"/>
              </w:rPr>
            </w:pPr>
            <w:r w:rsidRPr="00B84D38">
              <w:rPr>
                <w:b/>
                <w:sz w:val="22"/>
                <w:szCs w:val="22"/>
              </w:rPr>
              <w:t xml:space="preserve"> ООО Кировский компрессор</w:t>
            </w:r>
          </w:p>
          <w:p w14:paraId="5734D9E3"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Юридический адрес: 610912, Кировская область, г. Киров, ул. Тихая, д. 12</w:t>
            </w:r>
          </w:p>
          <w:p w14:paraId="2197C045"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Телефон: +7-8332-50-45-58</w:t>
            </w:r>
          </w:p>
          <w:p w14:paraId="55B7D2A2"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 xml:space="preserve">E-mail: </w:t>
            </w:r>
            <w:hyperlink r:id="rId6" w:tooltip="mailto:info@kircom.ru" w:history="1">
              <w:r w:rsidRPr="00B84D38">
                <w:rPr>
                  <w:rStyle w:val="a4"/>
                  <w:sz w:val="22"/>
                  <w:szCs w:val="22"/>
                </w:rPr>
                <w:t>info@kircom.ru</w:t>
              </w:r>
            </w:hyperlink>
          </w:p>
          <w:p w14:paraId="08187A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ИНН/КПП 4345538284/434501001</w:t>
            </w:r>
          </w:p>
          <w:p w14:paraId="2E14DF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ОГРН 1254300004485</w:t>
            </w:r>
          </w:p>
          <w:p w14:paraId="71C39E36"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Р/с 40702810927710000773</w:t>
            </w:r>
          </w:p>
          <w:p w14:paraId="78997307"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Полное наименование банка КИРОВСКОЕ ОТДЕЛЕНИЕ N8612 ПАО СБЕРБАНК</w:t>
            </w:r>
          </w:p>
          <w:p w14:paraId="43A5FF8F" w14:textId="31DEC5A9" w:rsidR="00697617" w:rsidRDefault="00697617" w:rsidP="00697617">
            <w:pPr>
              <w:widowControl w:val="0"/>
              <w:snapToGrid w:val="0"/>
              <w:spacing w:line="276" w:lineRule="auto"/>
              <w:rPr>
                <w:sz w:val="22"/>
                <w:szCs w:val="22"/>
              </w:rPr>
            </w:pPr>
            <w:r w:rsidRPr="00B84D38">
              <w:rPr>
                <w:sz w:val="22"/>
                <w:szCs w:val="22"/>
              </w:rPr>
              <w:t>БИК 043304609 к/с 30101810500000000609</w:t>
            </w:r>
          </w:p>
          <w:p w14:paraId="62FF2D76" w14:textId="77777777" w:rsidR="00697617" w:rsidRPr="00B84D38" w:rsidRDefault="00697617" w:rsidP="00697617">
            <w:pPr>
              <w:widowControl w:val="0"/>
              <w:snapToGrid w:val="0"/>
              <w:spacing w:line="276" w:lineRule="auto"/>
              <w:rPr>
                <w:b/>
                <w:sz w:val="22"/>
                <w:szCs w:val="22"/>
              </w:rPr>
            </w:pPr>
          </w:p>
          <w:p w14:paraId="2F63DC33" w14:textId="77777777" w:rsidR="001F3DAE" w:rsidRDefault="00697617" w:rsidP="003959D4">
            <w:pPr>
              <w:widowControl w:val="0"/>
              <w:snapToGrid w:val="0"/>
              <w:rPr>
                <w:b/>
                <w:sz w:val="22"/>
                <w:szCs w:val="22"/>
              </w:rPr>
            </w:pPr>
            <w:r w:rsidRPr="00B84D38">
              <w:rPr>
                <w:b/>
                <w:sz w:val="22"/>
                <w:szCs w:val="22"/>
              </w:rPr>
              <w:t>Генеральный директор</w:t>
            </w:r>
          </w:p>
          <w:p w14:paraId="0C290B73" w14:textId="77777777" w:rsidR="00697617" w:rsidRDefault="00697617" w:rsidP="003959D4">
            <w:pPr>
              <w:widowControl w:val="0"/>
              <w:snapToGrid w:val="0"/>
              <w:rPr>
                <w:b/>
                <w:spacing w:val="-1"/>
                <w:sz w:val="22"/>
                <w:szCs w:val="22"/>
              </w:rPr>
            </w:pPr>
          </w:p>
          <w:p w14:paraId="40841E60" w14:textId="752D476D" w:rsidR="00697617" w:rsidRPr="00B84D38" w:rsidRDefault="00697617" w:rsidP="003959D4">
            <w:pPr>
              <w:widowControl w:val="0"/>
              <w:snapToGrid w:val="0"/>
              <w:rPr>
                <w:spacing w:val="-1"/>
                <w:sz w:val="22"/>
                <w:szCs w:val="22"/>
              </w:rPr>
            </w:pPr>
            <w:r w:rsidRPr="00B84D38">
              <w:rPr>
                <w:b/>
                <w:sz w:val="22"/>
                <w:szCs w:val="22"/>
              </w:rPr>
              <w:t>__________________________Л.Н. Куницын</w:t>
            </w:r>
          </w:p>
        </w:tc>
      </w:tr>
    </w:tbl>
    <w:p w14:paraId="44F3826D" w14:textId="77777777" w:rsidR="001F3DAE" w:rsidRPr="00B84D38" w:rsidRDefault="001F3DAE" w:rsidP="001F3DAE">
      <w:pPr>
        <w:widowControl w:val="0"/>
        <w:shd w:val="clear" w:color="auto" w:fill="FFFFFF"/>
        <w:tabs>
          <w:tab w:val="left" w:pos="754"/>
        </w:tabs>
        <w:snapToGrid w:val="0"/>
        <w:spacing w:before="240" w:line="245" w:lineRule="exact"/>
        <w:rPr>
          <w:sz w:val="22"/>
          <w:szCs w:val="22"/>
        </w:rPr>
      </w:pPr>
    </w:p>
    <w:p w14:paraId="4CDF65B1" w14:textId="77777777" w:rsidR="001F3DAE" w:rsidRPr="00B84D38" w:rsidRDefault="001F3DAE" w:rsidP="001F3DAE">
      <w:pPr>
        <w:rPr>
          <w:sz w:val="22"/>
          <w:szCs w:val="22"/>
        </w:rPr>
      </w:pPr>
    </w:p>
    <w:p w14:paraId="314D05D4" w14:textId="77777777" w:rsidR="001F3DAE" w:rsidRPr="00B84D38" w:rsidRDefault="001F3DAE" w:rsidP="001F3DAE">
      <w:pPr>
        <w:rPr>
          <w:sz w:val="22"/>
          <w:szCs w:val="22"/>
        </w:rPr>
      </w:pPr>
    </w:p>
    <w:p w14:paraId="72E55746" w14:textId="77777777" w:rsidR="001F3DAE" w:rsidRPr="00B84D38" w:rsidRDefault="001F3DAE" w:rsidP="001F3DAE">
      <w:pPr>
        <w:rPr>
          <w:sz w:val="22"/>
          <w:szCs w:val="22"/>
        </w:rPr>
      </w:pPr>
    </w:p>
    <w:p w14:paraId="635220A6" w14:textId="77777777" w:rsidR="001F3DAE" w:rsidRPr="00B84D38" w:rsidRDefault="001F3DAE" w:rsidP="001F3DAE">
      <w:pPr>
        <w:rPr>
          <w:sz w:val="22"/>
          <w:szCs w:val="22"/>
        </w:rPr>
      </w:pPr>
    </w:p>
    <w:p w14:paraId="60BB62D5" w14:textId="77777777" w:rsidR="001F3DAE" w:rsidRPr="00B84D38" w:rsidRDefault="001F3DAE" w:rsidP="001F3DAE">
      <w:pPr>
        <w:rPr>
          <w:sz w:val="22"/>
          <w:szCs w:val="22"/>
        </w:rPr>
      </w:pPr>
    </w:p>
    <w:p w14:paraId="0FCB801D" w14:textId="77777777" w:rsidR="001F3DAE" w:rsidRPr="00B84D38" w:rsidRDefault="001F3DAE" w:rsidP="001F3DAE">
      <w:pPr>
        <w:rPr>
          <w:sz w:val="22"/>
          <w:szCs w:val="22"/>
        </w:rPr>
      </w:pPr>
    </w:p>
    <w:p w14:paraId="0CFEA03F" w14:textId="77777777" w:rsidR="001F3DAE" w:rsidRDefault="001F3DAE" w:rsidP="001F3DAE">
      <w:pPr>
        <w:rPr>
          <w:sz w:val="22"/>
          <w:szCs w:val="22"/>
        </w:rPr>
      </w:pPr>
    </w:p>
    <w:p w14:paraId="3D42449B" w14:textId="77777777" w:rsidR="000A4A1D" w:rsidRDefault="000A4A1D" w:rsidP="001F3DAE">
      <w:pPr>
        <w:rPr>
          <w:sz w:val="22"/>
          <w:szCs w:val="22"/>
        </w:rPr>
      </w:pPr>
    </w:p>
    <w:p w14:paraId="102287DC" w14:textId="77777777" w:rsidR="000A4A1D" w:rsidRDefault="000A4A1D" w:rsidP="001F3DAE">
      <w:pPr>
        <w:rPr>
          <w:sz w:val="22"/>
          <w:szCs w:val="22"/>
        </w:rPr>
      </w:pPr>
    </w:p>
    <w:p w14:paraId="22B1462E" w14:textId="77777777" w:rsidR="000A4A1D" w:rsidRDefault="000A4A1D" w:rsidP="001F3DAE">
      <w:pPr>
        <w:rPr>
          <w:sz w:val="22"/>
          <w:szCs w:val="22"/>
        </w:rPr>
      </w:pPr>
    </w:p>
    <w:p w14:paraId="328BE681" w14:textId="77777777" w:rsidR="000A4A1D" w:rsidRDefault="000A4A1D" w:rsidP="001F3DAE">
      <w:pPr>
        <w:rPr>
          <w:sz w:val="22"/>
          <w:szCs w:val="22"/>
        </w:rPr>
      </w:pPr>
    </w:p>
    <w:p w14:paraId="505A8B2A" w14:textId="77777777" w:rsidR="000A4A1D" w:rsidRDefault="000A4A1D" w:rsidP="001F3DAE">
      <w:pPr>
        <w:rPr>
          <w:sz w:val="22"/>
          <w:szCs w:val="22"/>
        </w:rPr>
      </w:pPr>
    </w:p>
    <w:p w14:paraId="6DD45DC5" w14:textId="77777777" w:rsidR="000A4A1D" w:rsidRDefault="000A4A1D" w:rsidP="001F3DAE">
      <w:pPr>
        <w:rPr>
          <w:sz w:val="22"/>
          <w:szCs w:val="22"/>
        </w:rPr>
      </w:pPr>
    </w:p>
    <w:p w14:paraId="2C14E31D" w14:textId="77777777" w:rsidR="000A4A1D" w:rsidRDefault="000A4A1D" w:rsidP="001F3DAE">
      <w:pPr>
        <w:rPr>
          <w:sz w:val="22"/>
          <w:szCs w:val="22"/>
        </w:rPr>
      </w:pPr>
    </w:p>
    <w:p w14:paraId="61F1C2FC" w14:textId="77777777" w:rsidR="000A4A1D" w:rsidRDefault="000A4A1D" w:rsidP="001F3DAE">
      <w:pPr>
        <w:rPr>
          <w:sz w:val="22"/>
          <w:szCs w:val="22"/>
        </w:rPr>
      </w:pPr>
    </w:p>
    <w:p w14:paraId="259DABAD" w14:textId="77777777" w:rsidR="000A4A1D" w:rsidRDefault="000A4A1D" w:rsidP="001F3DAE">
      <w:pPr>
        <w:rPr>
          <w:sz w:val="22"/>
          <w:szCs w:val="22"/>
        </w:rPr>
      </w:pPr>
    </w:p>
    <w:p w14:paraId="3AD72EB6" w14:textId="77777777" w:rsidR="000A4A1D" w:rsidRDefault="000A4A1D" w:rsidP="001F3DAE">
      <w:pPr>
        <w:rPr>
          <w:sz w:val="22"/>
          <w:szCs w:val="22"/>
        </w:rPr>
      </w:pPr>
    </w:p>
    <w:p w14:paraId="4D1762E5" w14:textId="77777777" w:rsidR="000A4A1D" w:rsidRDefault="000A4A1D" w:rsidP="001F3DAE">
      <w:pPr>
        <w:rPr>
          <w:sz w:val="22"/>
          <w:szCs w:val="22"/>
        </w:rPr>
      </w:pPr>
    </w:p>
    <w:p w14:paraId="63EC99B7" w14:textId="77777777" w:rsidR="000A4A1D" w:rsidRDefault="000A4A1D" w:rsidP="001F3DAE">
      <w:pPr>
        <w:rPr>
          <w:sz w:val="22"/>
          <w:szCs w:val="22"/>
        </w:rPr>
      </w:pPr>
    </w:p>
    <w:p w14:paraId="3E4A4E45" w14:textId="77777777" w:rsidR="000A4A1D" w:rsidRDefault="000A4A1D" w:rsidP="001F3DAE">
      <w:pPr>
        <w:rPr>
          <w:sz w:val="22"/>
          <w:szCs w:val="22"/>
        </w:rPr>
      </w:pPr>
    </w:p>
    <w:p w14:paraId="5730E067" w14:textId="77777777" w:rsidR="000A4A1D" w:rsidRDefault="000A4A1D" w:rsidP="001F3DAE">
      <w:pPr>
        <w:rPr>
          <w:sz w:val="22"/>
          <w:szCs w:val="22"/>
        </w:rPr>
      </w:pPr>
    </w:p>
    <w:p w14:paraId="55853186" w14:textId="77777777" w:rsidR="000A4A1D" w:rsidRDefault="000A4A1D" w:rsidP="001F3DAE">
      <w:pPr>
        <w:rPr>
          <w:sz w:val="22"/>
          <w:szCs w:val="22"/>
        </w:rPr>
      </w:pPr>
    </w:p>
    <w:p w14:paraId="622EBA5E" w14:textId="77777777" w:rsidR="000A4A1D" w:rsidRDefault="000A4A1D" w:rsidP="001F3DAE">
      <w:pPr>
        <w:rPr>
          <w:sz w:val="22"/>
          <w:szCs w:val="22"/>
        </w:rPr>
      </w:pPr>
    </w:p>
    <w:p w14:paraId="5206FB18" w14:textId="77777777" w:rsidR="000A4A1D" w:rsidRDefault="000A4A1D" w:rsidP="001F3DAE">
      <w:pPr>
        <w:rPr>
          <w:sz w:val="22"/>
          <w:szCs w:val="22"/>
        </w:rPr>
      </w:pPr>
    </w:p>
    <w:p w14:paraId="37ABDBC6" w14:textId="77777777" w:rsidR="000A4A1D" w:rsidRDefault="000A4A1D" w:rsidP="001F3DAE">
      <w:pPr>
        <w:rPr>
          <w:sz w:val="22"/>
          <w:szCs w:val="22"/>
        </w:rPr>
      </w:pPr>
    </w:p>
    <w:p w14:paraId="4343AEE5" w14:textId="77777777" w:rsidR="000A4A1D" w:rsidRDefault="000A4A1D" w:rsidP="001F3DAE">
      <w:pPr>
        <w:rPr>
          <w:sz w:val="22"/>
          <w:szCs w:val="22"/>
        </w:rPr>
      </w:pPr>
    </w:p>
    <w:p w14:paraId="16FDECA1" w14:textId="77777777" w:rsidR="000A4A1D" w:rsidRDefault="000A4A1D" w:rsidP="001F3DAE">
      <w:pPr>
        <w:rPr>
          <w:sz w:val="22"/>
          <w:szCs w:val="22"/>
        </w:rPr>
      </w:pPr>
    </w:p>
    <w:p w14:paraId="0ADD219C" w14:textId="77777777" w:rsidR="000A4A1D" w:rsidRDefault="000A4A1D" w:rsidP="001F3DAE">
      <w:pPr>
        <w:rPr>
          <w:sz w:val="22"/>
          <w:szCs w:val="22"/>
        </w:rPr>
      </w:pPr>
    </w:p>
    <w:p w14:paraId="38C30041" w14:textId="77777777" w:rsidR="000A4A1D" w:rsidRDefault="000A4A1D" w:rsidP="001F3DAE">
      <w:pPr>
        <w:rPr>
          <w:sz w:val="22"/>
          <w:szCs w:val="22"/>
        </w:rPr>
      </w:pPr>
    </w:p>
    <w:p w14:paraId="5562089B" w14:textId="77777777" w:rsidR="000A4A1D" w:rsidRDefault="000A4A1D" w:rsidP="001F3DAE">
      <w:pPr>
        <w:rPr>
          <w:sz w:val="22"/>
          <w:szCs w:val="22"/>
        </w:rPr>
      </w:pPr>
    </w:p>
    <w:p w14:paraId="330EDA9A" w14:textId="77777777" w:rsidR="000A4A1D" w:rsidRDefault="000A4A1D" w:rsidP="001F3DAE">
      <w:pPr>
        <w:rPr>
          <w:sz w:val="22"/>
          <w:szCs w:val="22"/>
        </w:rPr>
      </w:pPr>
    </w:p>
    <w:p w14:paraId="7B8EE6E7" w14:textId="77777777" w:rsidR="000A4A1D" w:rsidRDefault="000A4A1D" w:rsidP="001F3DAE">
      <w:pPr>
        <w:rPr>
          <w:sz w:val="22"/>
          <w:szCs w:val="22"/>
        </w:rPr>
      </w:pPr>
    </w:p>
    <w:p w14:paraId="271AD24F" w14:textId="77777777" w:rsidR="000A4A1D" w:rsidRDefault="000A4A1D" w:rsidP="001F3DAE">
      <w:pPr>
        <w:rPr>
          <w:sz w:val="22"/>
          <w:szCs w:val="22"/>
        </w:rPr>
      </w:pPr>
    </w:p>
    <w:p w14:paraId="4786E907" w14:textId="77777777" w:rsidR="000A4A1D" w:rsidRDefault="000A4A1D" w:rsidP="001F3DAE">
      <w:pPr>
        <w:rPr>
          <w:sz w:val="22"/>
          <w:szCs w:val="22"/>
        </w:rPr>
      </w:pPr>
    </w:p>
    <w:p w14:paraId="186C29B8" w14:textId="77777777" w:rsidR="000A4A1D" w:rsidRPr="00B84D38" w:rsidRDefault="000A4A1D" w:rsidP="001F3DAE">
      <w:pPr>
        <w:rPr>
          <w:sz w:val="22"/>
          <w:szCs w:val="22"/>
        </w:rPr>
      </w:pPr>
    </w:p>
    <w:p w14:paraId="1F563DD9" w14:textId="77777777" w:rsidR="001F3DAE" w:rsidRPr="00B84D38" w:rsidRDefault="001F3DAE" w:rsidP="001F3DAE">
      <w:pPr>
        <w:rPr>
          <w:sz w:val="22"/>
          <w:szCs w:val="22"/>
        </w:rPr>
      </w:pPr>
    </w:p>
    <w:p w14:paraId="4A8F60B5" w14:textId="77777777" w:rsidR="001F3DAE" w:rsidRPr="00B84D38" w:rsidRDefault="001F3DAE" w:rsidP="001F3DAE">
      <w:pPr>
        <w:rPr>
          <w:sz w:val="22"/>
          <w:szCs w:val="22"/>
        </w:rPr>
      </w:pPr>
    </w:p>
    <w:p w14:paraId="797DE667" w14:textId="77777777" w:rsidR="001F3DAE" w:rsidRPr="00B84D38" w:rsidRDefault="001F3DAE" w:rsidP="001F3DAE">
      <w:pPr>
        <w:rPr>
          <w:sz w:val="22"/>
          <w:szCs w:val="22"/>
        </w:rPr>
      </w:pPr>
    </w:p>
    <w:p w14:paraId="6DFCF7C6" w14:textId="77777777" w:rsidR="001F3DAE" w:rsidRPr="00B84D38" w:rsidRDefault="001F3DAE" w:rsidP="001F3DAE">
      <w:pPr>
        <w:rPr>
          <w:sz w:val="22"/>
          <w:szCs w:val="22"/>
        </w:rPr>
      </w:pPr>
    </w:p>
    <w:p w14:paraId="1CBA5899" w14:textId="77777777" w:rsidR="001F3DAE" w:rsidRPr="00240BAF" w:rsidRDefault="001F3DAE" w:rsidP="001F3DAE">
      <w:pPr>
        <w:rPr>
          <w:sz w:val="22"/>
          <w:szCs w:val="22"/>
        </w:rPr>
      </w:pPr>
    </w:p>
    <w:p w14:paraId="33E5AE30" w14:textId="77777777" w:rsidR="001F3DAE" w:rsidRPr="00B84D38" w:rsidRDefault="001F3DAE" w:rsidP="001F3DAE">
      <w:pPr>
        <w:rPr>
          <w:i/>
          <w:sz w:val="22"/>
          <w:szCs w:val="22"/>
        </w:rPr>
      </w:pPr>
      <w:r w:rsidRPr="00B84D38">
        <w:rPr>
          <w:i/>
          <w:sz w:val="22"/>
          <w:szCs w:val="22"/>
        </w:rPr>
        <w:lastRenderedPageBreak/>
        <w:t xml:space="preserve">ФОРМА </w:t>
      </w:r>
    </w:p>
    <w:p w14:paraId="0D5841A8" w14:textId="77777777" w:rsidR="001F3DAE" w:rsidRPr="00B84D38" w:rsidRDefault="001F3DAE" w:rsidP="001F3DAE">
      <w:pPr>
        <w:jc w:val="right"/>
        <w:rPr>
          <w:i/>
          <w:sz w:val="22"/>
          <w:szCs w:val="22"/>
        </w:rPr>
      </w:pPr>
      <w:r w:rsidRPr="00B84D38">
        <w:rPr>
          <w:i/>
          <w:sz w:val="22"/>
          <w:szCs w:val="22"/>
        </w:rPr>
        <w:t xml:space="preserve">Приложение № 1 </w:t>
      </w:r>
    </w:p>
    <w:p w14:paraId="0DDB71D2" w14:textId="77777777" w:rsidR="001F3DAE" w:rsidRPr="00B84D38" w:rsidRDefault="001F3DAE" w:rsidP="001F3DAE">
      <w:pPr>
        <w:jc w:val="right"/>
        <w:rPr>
          <w:i/>
          <w:sz w:val="22"/>
          <w:szCs w:val="22"/>
        </w:rPr>
      </w:pPr>
      <w:r w:rsidRPr="00B84D38">
        <w:rPr>
          <w:i/>
          <w:sz w:val="22"/>
          <w:szCs w:val="22"/>
        </w:rPr>
        <w:t>к договору поставки № ____________ от «___» _____________ 2025 г.</w:t>
      </w:r>
    </w:p>
    <w:p w14:paraId="36AA4A13" w14:textId="77777777" w:rsidR="001F3DAE" w:rsidRPr="00B84D38" w:rsidRDefault="001F3DAE" w:rsidP="001F3DAE">
      <w:pPr>
        <w:jc w:val="right"/>
        <w:rPr>
          <w:i/>
          <w:sz w:val="22"/>
          <w:szCs w:val="22"/>
        </w:rPr>
      </w:pPr>
    </w:p>
    <w:p w14:paraId="3DE88B00" w14:textId="77777777" w:rsidR="001F3DAE" w:rsidRPr="00B84D38" w:rsidRDefault="001F3DAE" w:rsidP="001F3DAE">
      <w:pPr>
        <w:jc w:val="center"/>
        <w:rPr>
          <w:i/>
          <w:sz w:val="22"/>
          <w:szCs w:val="22"/>
        </w:rPr>
      </w:pPr>
    </w:p>
    <w:p w14:paraId="1D295F83" w14:textId="77777777" w:rsidR="001F3DAE" w:rsidRPr="00B84D38" w:rsidRDefault="001F3DAE" w:rsidP="001F3DAE">
      <w:pPr>
        <w:jc w:val="center"/>
        <w:rPr>
          <w:b/>
          <w:i/>
          <w:sz w:val="22"/>
          <w:szCs w:val="22"/>
        </w:rPr>
      </w:pPr>
      <w:r w:rsidRPr="00B84D38">
        <w:rPr>
          <w:b/>
          <w:i/>
          <w:sz w:val="22"/>
          <w:szCs w:val="22"/>
        </w:rPr>
        <w:t>Спецификация № ___ от «___» ______ 2025 г.</w:t>
      </w:r>
    </w:p>
    <w:p w14:paraId="5741D644" w14:textId="77777777" w:rsidR="001F3DAE" w:rsidRPr="00B84D38" w:rsidRDefault="001F3DAE" w:rsidP="001F3DAE">
      <w:pPr>
        <w:spacing w:before="120"/>
        <w:jc w:val="center"/>
        <w:rPr>
          <w:i/>
          <w:sz w:val="22"/>
          <w:szCs w:val="22"/>
        </w:rPr>
      </w:pPr>
      <w:r w:rsidRPr="00B84D38">
        <w:rPr>
          <w:i/>
          <w:sz w:val="22"/>
          <w:szCs w:val="22"/>
        </w:rPr>
        <w:t>на поставку Товара</w:t>
      </w:r>
    </w:p>
    <w:p w14:paraId="13C5D8F4" w14:textId="77777777" w:rsidR="001F3DAE" w:rsidRPr="00B84D38" w:rsidRDefault="001F3DAE" w:rsidP="001F3DAE">
      <w:pPr>
        <w:rPr>
          <w:i/>
          <w:sz w:val="22"/>
          <w:szCs w:val="22"/>
        </w:rPr>
      </w:pPr>
    </w:p>
    <w:p w14:paraId="2820D1D9" w14:textId="77777777" w:rsidR="001F3DAE" w:rsidRPr="00B84D38" w:rsidRDefault="001F3DAE" w:rsidP="001F3DAE">
      <w:pPr>
        <w:tabs>
          <w:tab w:val="left" w:pos="8820"/>
        </w:tabs>
        <w:rPr>
          <w:i/>
          <w:sz w:val="22"/>
          <w:szCs w:val="22"/>
        </w:rPr>
      </w:pPr>
      <w:r w:rsidRPr="00B84D38">
        <w:rPr>
          <w:b/>
          <w:i/>
          <w:sz w:val="22"/>
          <w:szCs w:val="22"/>
        </w:rPr>
        <w:t>Поставщик</w:t>
      </w:r>
      <w:r w:rsidRPr="00B84D38">
        <w:rPr>
          <w:i/>
          <w:sz w:val="22"/>
          <w:szCs w:val="22"/>
        </w:rPr>
        <w:t>: __________________</w:t>
      </w:r>
      <w:r w:rsidRPr="00B84D38">
        <w:rPr>
          <w:i/>
          <w:sz w:val="22"/>
          <w:szCs w:val="22"/>
        </w:rPr>
        <w:tab/>
        <w:t xml:space="preserve">                                        </w:t>
      </w:r>
      <w:r w:rsidRPr="00B84D38">
        <w:rPr>
          <w:b/>
          <w:i/>
          <w:sz w:val="22"/>
          <w:szCs w:val="22"/>
        </w:rPr>
        <w:t>Покупатель</w:t>
      </w:r>
      <w:r w:rsidRPr="00B84D38">
        <w:rPr>
          <w:i/>
          <w:sz w:val="22"/>
          <w:szCs w:val="22"/>
        </w:rPr>
        <w:t xml:space="preserve">: </w:t>
      </w:r>
      <w:r w:rsidRPr="00B84D38">
        <w:rPr>
          <w:i/>
          <w:iCs/>
          <w:color w:val="000000"/>
          <w:sz w:val="22"/>
          <w:szCs w:val="22"/>
          <w:lang w:eastAsia="en-US"/>
        </w:rPr>
        <w:t>ООО «Кировский компрессор»</w:t>
      </w:r>
    </w:p>
    <w:tbl>
      <w:tblPr>
        <w:tblW w:w="4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006"/>
        <w:gridCol w:w="1684"/>
        <w:gridCol w:w="1179"/>
        <w:gridCol w:w="1343"/>
        <w:gridCol w:w="979"/>
        <w:gridCol w:w="1300"/>
      </w:tblGrid>
      <w:tr w:rsidR="001F3DAE" w:rsidRPr="00B84D38" w14:paraId="670BF867" w14:textId="77777777" w:rsidTr="003959D4">
        <w:trPr>
          <w:jc w:val="center"/>
        </w:trPr>
        <w:tc>
          <w:tcPr>
            <w:tcW w:w="243" w:type="pct"/>
          </w:tcPr>
          <w:p w14:paraId="0E1F3712" w14:textId="77777777" w:rsidR="001F3DAE" w:rsidRPr="00B84D38" w:rsidRDefault="001F3DAE" w:rsidP="003959D4">
            <w:pPr>
              <w:jc w:val="center"/>
              <w:rPr>
                <w:i/>
                <w:sz w:val="22"/>
                <w:szCs w:val="22"/>
              </w:rPr>
            </w:pPr>
            <w:r w:rsidRPr="00B84D38">
              <w:rPr>
                <w:i/>
                <w:sz w:val="22"/>
                <w:szCs w:val="22"/>
              </w:rPr>
              <w:t>№ п/п</w:t>
            </w:r>
          </w:p>
        </w:tc>
        <w:tc>
          <w:tcPr>
            <w:tcW w:w="1627" w:type="pct"/>
          </w:tcPr>
          <w:p w14:paraId="5E905AB8" w14:textId="77777777" w:rsidR="001F3DAE" w:rsidRPr="00B84D38" w:rsidRDefault="001F3DAE" w:rsidP="003959D4">
            <w:pPr>
              <w:jc w:val="center"/>
              <w:rPr>
                <w:i/>
                <w:sz w:val="22"/>
                <w:szCs w:val="22"/>
              </w:rPr>
            </w:pPr>
            <w:r w:rsidRPr="00B84D38">
              <w:rPr>
                <w:i/>
                <w:sz w:val="22"/>
                <w:szCs w:val="22"/>
              </w:rPr>
              <w:t>Наименование материалов и оборудования</w:t>
            </w:r>
          </w:p>
        </w:tc>
        <w:tc>
          <w:tcPr>
            <w:tcW w:w="965" w:type="pct"/>
          </w:tcPr>
          <w:p w14:paraId="62F532FD" w14:textId="77777777" w:rsidR="001F3DAE" w:rsidRPr="00B84D38" w:rsidRDefault="001F3DAE" w:rsidP="003959D4">
            <w:pPr>
              <w:jc w:val="center"/>
              <w:rPr>
                <w:i/>
                <w:sz w:val="22"/>
                <w:szCs w:val="22"/>
              </w:rPr>
            </w:pPr>
            <w:r w:rsidRPr="00B84D38">
              <w:rPr>
                <w:i/>
                <w:sz w:val="22"/>
                <w:szCs w:val="22"/>
              </w:rPr>
              <w:t>Тип, марка, ГОСТ, ТУ, ОСТ, декларация о соответствии</w:t>
            </w:r>
          </w:p>
          <w:p w14:paraId="73B1EE32" w14:textId="77777777" w:rsidR="001F3DAE" w:rsidRPr="00B84D38" w:rsidRDefault="001F3DAE" w:rsidP="003959D4">
            <w:pPr>
              <w:jc w:val="center"/>
              <w:rPr>
                <w:i/>
                <w:sz w:val="22"/>
                <w:szCs w:val="22"/>
              </w:rPr>
            </w:pPr>
            <w:r w:rsidRPr="00B84D38">
              <w:rPr>
                <w:i/>
                <w:sz w:val="22"/>
                <w:szCs w:val="22"/>
              </w:rPr>
              <w:t xml:space="preserve"> и т.д.</w:t>
            </w:r>
          </w:p>
        </w:tc>
        <w:tc>
          <w:tcPr>
            <w:tcW w:w="482" w:type="pct"/>
          </w:tcPr>
          <w:p w14:paraId="0C0BEFA6" w14:textId="77777777" w:rsidR="001F3DAE" w:rsidRPr="00B84D38" w:rsidRDefault="001F3DAE" w:rsidP="003959D4">
            <w:pPr>
              <w:jc w:val="center"/>
              <w:rPr>
                <w:i/>
                <w:sz w:val="22"/>
                <w:szCs w:val="22"/>
              </w:rPr>
            </w:pPr>
          </w:p>
          <w:p w14:paraId="40F573F8" w14:textId="77777777" w:rsidR="001F3DAE" w:rsidRPr="00B84D38" w:rsidRDefault="001F3DAE" w:rsidP="003959D4">
            <w:pPr>
              <w:jc w:val="center"/>
              <w:rPr>
                <w:i/>
                <w:sz w:val="22"/>
                <w:szCs w:val="22"/>
              </w:rPr>
            </w:pPr>
            <w:r w:rsidRPr="00B84D38">
              <w:rPr>
                <w:i/>
                <w:sz w:val="22"/>
                <w:szCs w:val="22"/>
              </w:rPr>
              <w:t>Ед. измерения</w:t>
            </w:r>
          </w:p>
        </w:tc>
        <w:tc>
          <w:tcPr>
            <w:tcW w:w="457" w:type="pct"/>
            <w:vAlign w:val="center"/>
          </w:tcPr>
          <w:p w14:paraId="236EC192" w14:textId="77777777" w:rsidR="001F3DAE" w:rsidRPr="00B84D38" w:rsidRDefault="001F3DAE" w:rsidP="003959D4">
            <w:pPr>
              <w:jc w:val="center"/>
              <w:rPr>
                <w:i/>
                <w:sz w:val="22"/>
                <w:szCs w:val="22"/>
              </w:rPr>
            </w:pPr>
            <w:r w:rsidRPr="00B84D38">
              <w:rPr>
                <w:i/>
                <w:sz w:val="22"/>
                <w:szCs w:val="22"/>
              </w:rPr>
              <w:t>Количество</w:t>
            </w:r>
          </w:p>
        </w:tc>
        <w:tc>
          <w:tcPr>
            <w:tcW w:w="612" w:type="pct"/>
          </w:tcPr>
          <w:p w14:paraId="6B04B4A9" w14:textId="77777777" w:rsidR="001F3DAE" w:rsidRPr="00B84D38" w:rsidRDefault="001F3DAE" w:rsidP="003959D4">
            <w:pPr>
              <w:jc w:val="center"/>
              <w:rPr>
                <w:i/>
                <w:sz w:val="22"/>
                <w:szCs w:val="22"/>
              </w:rPr>
            </w:pPr>
            <w:r w:rsidRPr="00B84D38">
              <w:rPr>
                <w:i/>
                <w:sz w:val="22"/>
                <w:szCs w:val="22"/>
              </w:rPr>
              <w:t>Цена за ед.</w:t>
            </w:r>
          </w:p>
          <w:p w14:paraId="2E93A132" w14:textId="77777777" w:rsidR="001F3DAE" w:rsidRPr="00B84D38" w:rsidRDefault="001F3DAE" w:rsidP="003959D4">
            <w:pPr>
              <w:jc w:val="center"/>
              <w:rPr>
                <w:i/>
                <w:sz w:val="22"/>
                <w:szCs w:val="22"/>
              </w:rPr>
            </w:pPr>
            <w:r w:rsidRPr="00B84D38">
              <w:rPr>
                <w:i/>
                <w:sz w:val="22"/>
                <w:szCs w:val="22"/>
              </w:rPr>
              <w:t>без НДС,</w:t>
            </w:r>
          </w:p>
          <w:p w14:paraId="709BC0EB" w14:textId="77777777" w:rsidR="001F3DAE" w:rsidRPr="00B84D38" w:rsidRDefault="001F3DAE" w:rsidP="003959D4">
            <w:pPr>
              <w:jc w:val="center"/>
              <w:rPr>
                <w:i/>
                <w:sz w:val="22"/>
                <w:szCs w:val="22"/>
              </w:rPr>
            </w:pPr>
            <w:r w:rsidRPr="00B84D38">
              <w:rPr>
                <w:i/>
                <w:sz w:val="22"/>
                <w:szCs w:val="22"/>
              </w:rPr>
              <w:t>руб.</w:t>
            </w:r>
          </w:p>
        </w:tc>
        <w:tc>
          <w:tcPr>
            <w:tcW w:w="613" w:type="pct"/>
          </w:tcPr>
          <w:p w14:paraId="2244FBB2" w14:textId="77777777" w:rsidR="001F3DAE" w:rsidRPr="00B84D38" w:rsidRDefault="001F3DAE" w:rsidP="003959D4">
            <w:pPr>
              <w:jc w:val="center"/>
              <w:rPr>
                <w:i/>
                <w:sz w:val="22"/>
                <w:szCs w:val="22"/>
              </w:rPr>
            </w:pPr>
            <w:r w:rsidRPr="00B84D38">
              <w:rPr>
                <w:i/>
                <w:sz w:val="22"/>
                <w:szCs w:val="22"/>
              </w:rPr>
              <w:t>Общая стоимость</w:t>
            </w:r>
          </w:p>
          <w:p w14:paraId="4B78AD1C" w14:textId="77777777" w:rsidR="001F3DAE" w:rsidRPr="00B84D38" w:rsidRDefault="001F3DAE" w:rsidP="003959D4">
            <w:pPr>
              <w:jc w:val="center"/>
              <w:rPr>
                <w:i/>
                <w:sz w:val="22"/>
                <w:szCs w:val="22"/>
              </w:rPr>
            </w:pPr>
            <w:r w:rsidRPr="00B84D38">
              <w:rPr>
                <w:i/>
                <w:sz w:val="22"/>
                <w:szCs w:val="22"/>
              </w:rPr>
              <w:t>с НДС,</w:t>
            </w:r>
          </w:p>
          <w:p w14:paraId="6F95F604" w14:textId="77777777" w:rsidR="001F3DAE" w:rsidRPr="00B84D38" w:rsidRDefault="001F3DAE" w:rsidP="003959D4">
            <w:pPr>
              <w:jc w:val="center"/>
              <w:rPr>
                <w:i/>
                <w:sz w:val="22"/>
                <w:szCs w:val="22"/>
              </w:rPr>
            </w:pPr>
            <w:r w:rsidRPr="00B84D38">
              <w:rPr>
                <w:i/>
                <w:sz w:val="22"/>
                <w:szCs w:val="22"/>
              </w:rPr>
              <w:t>руб.</w:t>
            </w:r>
          </w:p>
        </w:tc>
      </w:tr>
      <w:tr w:rsidR="001F3DAE" w:rsidRPr="00B84D38" w14:paraId="0C40C35B" w14:textId="77777777" w:rsidTr="003959D4">
        <w:trPr>
          <w:jc w:val="center"/>
        </w:trPr>
        <w:tc>
          <w:tcPr>
            <w:tcW w:w="243" w:type="pct"/>
          </w:tcPr>
          <w:p w14:paraId="5145787C" w14:textId="77777777" w:rsidR="001F3DAE" w:rsidRPr="00B84D38" w:rsidRDefault="001F3DAE" w:rsidP="003959D4">
            <w:pPr>
              <w:jc w:val="center"/>
              <w:rPr>
                <w:i/>
                <w:sz w:val="22"/>
                <w:szCs w:val="22"/>
              </w:rPr>
            </w:pPr>
            <w:r w:rsidRPr="00B84D38">
              <w:rPr>
                <w:i/>
                <w:sz w:val="22"/>
                <w:szCs w:val="22"/>
              </w:rPr>
              <w:t>1</w:t>
            </w:r>
          </w:p>
        </w:tc>
        <w:tc>
          <w:tcPr>
            <w:tcW w:w="1627" w:type="pct"/>
          </w:tcPr>
          <w:p w14:paraId="712C0A8E" w14:textId="77777777" w:rsidR="001F3DAE" w:rsidRPr="00B84D38" w:rsidRDefault="001F3DAE" w:rsidP="003959D4">
            <w:pPr>
              <w:jc w:val="center"/>
              <w:rPr>
                <w:i/>
                <w:sz w:val="22"/>
                <w:szCs w:val="22"/>
              </w:rPr>
            </w:pPr>
            <w:r w:rsidRPr="00B84D38">
              <w:rPr>
                <w:i/>
                <w:sz w:val="22"/>
                <w:szCs w:val="22"/>
              </w:rPr>
              <w:t>2</w:t>
            </w:r>
          </w:p>
        </w:tc>
        <w:tc>
          <w:tcPr>
            <w:tcW w:w="965" w:type="pct"/>
          </w:tcPr>
          <w:p w14:paraId="419DDDCD" w14:textId="77777777" w:rsidR="001F3DAE" w:rsidRPr="00B84D38" w:rsidRDefault="001F3DAE" w:rsidP="003959D4">
            <w:pPr>
              <w:jc w:val="center"/>
              <w:rPr>
                <w:i/>
                <w:sz w:val="22"/>
                <w:szCs w:val="22"/>
              </w:rPr>
            </w:pPr>
            <w:r w:rsidRPr="00B84D38">
              <w:rPr>
                <w:i/>
                <w:sz w:val="22"/>
                <w:szCs w:val="22"/>
              </w:rPr>
              <w:t>3</w:t>
            </w:r>
          </w:p>
        </w:tc>
        <w:tc>
          <w:tcPr>
            <w:tcW w:w="482" w:type="pct"/>
          </w:tcPr>
          <w:p w14:paraId="6052D0D2" w14:textId="77777777" w:rsidR="001F3DAE" w:rsidRPr="00B84D38" w:rsidRDefault="001F3DAE" w:rsidP="003959D4">
            <w:pPr>
              <w:jc w:val="center"/>
              <w:rPr>
                <w:i/>
                <w:sz w:val="22"/>
                <w:szCs w:val="22"/>
              </w:rPr>
            </w:pPr>
            <w:r w:rsidRPr="00B84D38">
              <w:rPr>
                <w:i/>
                <w:sz w:val="22"/>
                <w:szCs w:val="22"/>
              </w:rPr>
              <w:t>4</w:t>
            </w:r>
          </w:p>
        </w:tc>
        <w:tc>
          <w:tcPr>
            <w:tcW w:w="457" w:type="pct"/>
            <w:vAlign w:val="center"/>
          </w:tcPr>
          <w:p w14:paraId="6421EFD7" w14:textId="77777777" w:rsidR="001F3DAE" w:rsidRPr="00B84D38" w:rsidRDefault="001F3DAE" w:rsidP="003959D4">
            <w:pPr>
              <w:jc w:val="center"/>
              <w:rPr>
                <w:i/>
                <w:sz w:val="22"/>
                <w:szCs w:val="22"/>
              </w:rPr>
            </w:pPr>
            <w:r w:rsidRPr="00B84D38">
              <w:rPr>
                <w:i/>
                <w:sz w:val="22"/>
                <w:szCs w:val="22"/>
              </w:rPr>
              <w:t>5</w:t>
            </w:r>
          </w:p>
        </w:tc>
        <w:tc>
          <w:tcPr>
            <w:tcW w:w="612" w:type="pct"/>
          </w:tcPr>
          <w:p w14:paraId="04FAE5FF" w14:textId="77777777" w:rsidR="001F3DAE" w:rsidRPr="00B84D38" w:rsidRDefault="001F3DAE" w:rsidP="003959D4">
            <w:pPr>
              <w:jc w:val="center"/>
              <w:rPr>
                <w:i/>
                <w:sz w:val="22"/>
                <w:szCs w:val="22"/>
              </w:rPr>
            </w:pPr>
            <w:r w:rsidRPr="00B84D38">
              <w:rPr>
                <w:i/>
                <w:sz w:val="22"/>
                <w:szCs w:val="22"/>
              </w:rPr>
              <w:t>6</w:t>
            </w:r>
          </w:p>
        </w:tc>
        <w:tc>
          <w:tcPr>
            <w:tcW w:w="613" w:type="pct"/>
          </w:tcPr>
          <w:p w14:paraId="285627C7" w14:textId="77777777" w:rsidR="001F3DAE" w:rsidRPr="00B84D38" w:rsidRDefault="001F3DAE" w:rsidP="003959D4">
            <w:pPr>
              <w:jc w:val="center"/>
              <w:rPr>
                <w:i/>
                <w:sz w:val="22"/>
                <w:szCs w:val="22"/>
              </w:rPr>
            </w:pPr>
            <w:r w:rsidRPr="00B84D38">
              <w:rPr>
                <w:i/>
                <w:sz w:val="22"/>
                <w:szCs w:val="22"/>
              </w:rPr>
              <w:t>7</w:t>
            </w:r>
          </w:p>
        </w:tc>
      </w:tr>
      <w:tr w:rsidR="001F3DAE" w:rsidRPr="00B84D38" w14:paraId="215BC62F" w14:textId="77777777" w:rsidTr="003959D4">
        <w:trPr>
          <w:jc w:val="center"/>
        </w:trPr>
        <w:tc>
          <w:tcPr>
            <w:tcW w:w="243" w:type="pct"/>
          </w:tcPr>
          <w:p w14:paraId="2B93272B" w14:textId="77777777" w:rsidR="001F3DAE" w:rsidRPr="00B84D38" w:rsidRDefault="001F3DAE" w:rsidP="003959D4">
            <w:pPr>
              <w:jc w:val="center"/>
              <w:rPr>
                <w:i/>
                <w:sz w:val="22"/>
                <w:szCs w:val="22"/>
              </w:rPr>
            </w:pPr>
            <w:r w:rsidRPr="00B84D38">
              <w:rPr>
                <w:i/>
                <w:sz w:val="22"/>
                <w:szCs w:val="22"/>
              </w:rPr>
              <w:t>1.</w:t>
            </w:r>
          </w:p>
        </w:tc>
        <w:tc>
          <w:tcPr>
            <w:tcW w:w="1627" w:type="pct"/>
            <w:shd w:val="clear" w:color="auto" w:fill="auto"/>
          </w:tcPr>
          <w:p w14:paraId="47525D6F" w14:textId="77777777" w:rsidR="001F3DAE" w:rsidRPr="00B84D38" w:rsidRDefault="001F3DAE" w:rsidP="003959D4">
            <w:pPr>
              <w:rPr>
                <w:i/>
                <w:sz w:val="22"/>
                <w:szCs w:val="22"/>
                <w:lang w:val="en-US"/>
              </w:rPr>
            </w:pPr>
          </w:p>
        </w:tc>
        <w:tc>
          <w:tcPr>
            <w:tcW w:w="965" w:type="pct"/>
          </w:tcPr>
          <w:p w14:paraId="3DD749BC"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0734860B" w14:textId="77777777" w:rsidR="001F3DAE" w:rsidRPr="00B84D38" w:rsidRDefault="001F3DAE" w:rsidP="003959D4">
            <w:pPr>
              <w:jc w:val="center"/>
              <w:rPr>
                <w:i/>
                <w:sz w:val="22"/>
                <w:szCs w:val="22"/>
              </w:rPr>
            </w:pPr>
            <w:proofErr w:type="spellStart"/>
            <w:r w:rsidRPr="00B84D38">
              <w:rPr>
                <w:i/>
                <w:sz w:val="22"/>
                <w:szCs w:val="22"/>
              </w:rPr>
              <w:t>шт</w:t>
            </w:r>
            <w:proofErr w:type="spellEnd"/>
          </w:p>
        </w:tc>
        <w:tc>
          <w:tcPr>
            <w:tcW w:w="457" w:type="pct"/>
            <w:vAlign w:val="center"/>
          </w:tcPr>
          <w:p w14:paraId="0507182F" w14:textId="77777777" w:rsidR="001F3DAE" w:rsidRPr="00B84D38" w:rsidRDefault="001F3DAE" w:rsidP="003959D4">
            <w:pPr>
              <w:jc w:val="center"/>
              <w:rPr>
                <w:i/>
                <w:sz w:val="22"/>
                <w:szCs w:val="22"/>
              </w:rPr>
            </w:pPr>
          </w:p>
        </w:tc>
        <w:tc>
          <w:tcPr>
            <w:tcW w:w="612" w:type="pct"/>
            <w:vAlign w:val="center"/>
          </w:tcPr>
          <w:p w14:paraId="7C3781C9" w14:textId="77777777" w:rsidR="001F3DAE" w:rsidRPr="00B84D38" w:rsidRDefault="001F3DAE" w:rsidP="003959D4">
            <w:pPr>
              <w:jc w:val="center"/>
              <w:rPr>
                <w:i/>
                <w:sz w:val="22"/>
                <w:szCs w:val="22"/>
              </w:rPr>
            </w:pPr>
          </w:p>
        </w:tc>
        <w:tc>
          <w:tcPr>
            <w:tcW w:w="613" w:type="pct"/>
            <w:vAlign w:val="center"/>
          </w:tcPr>
          <w:p w14:paraId="787AFD7E" w14:textId="77777777" w:rsidR="001F3DAE" w:rsidRPr="00B84D38" w:rsidRDefault="001F3DAE" w:rsidP="003959D4">
            <w:pPr>
              <w:jc w:val="center"/>
              <w:rPr>
                <w:i/>
                <w:sz w:val="22"/>
                <w:szCs w:val="22"/>
              </w:rPr>
            </w:pPr>
          </w:p>
        </w:tc>
      </w:tr>
      <w:tr w:rsidR="001F3DAE" w:rsidRPr="00B84D38" w14:paraId="550EFF67" w14:textId="77777777" w:rsidTr="003959D4">
        <w:trPr>
          <w:jc w:val="center"/>
        </w:trPr>
        <w:tc>
          <w:tcPr>
            <w:tcW w:w="243" w:type="pct"/>
            <w:vAlign w:val="center"/>
          </w:tcPr>
          <w:p w14:paraId="58CEB2D8" w14:textId="77777777" w:rsidR="001F3DAE" w:rsidRPr="00B84D38" w:rsidRDefault="001F3DAE" w:rsidP="003959D4">
            <w:pPr>
              <w:rPr>
                <w:i/>
                <w:sz w:val="22"/>
                <w:szCs w:val="22"/>
              </w:rPr>
            </w:pPr>
            <w:r w:rsidRPr="00B84D38">
              <w:rPr>
                <w:b/>
                <w:i/>
                <w:sz w:val="22"/>
                <w:szCs w:val="22"/>
              </w:rPr>
              <w:t xml:space="preserve">   </w:t>
            </w:r>
            <w:r w:rsidRPr="00B84D38">
              <w:rPr>
                <w:i/>
                <w:sz w:val="22"/>
                <w:szCs w:val="22"/>
              </w:rPr>
              <w:t>2.</w:t>
            </w:r>
          </w:p>
        </w:tc>
        <w:tc>
          <w:tcPr>
            <w:tcW w:w="1627" w:type="pct"/>
            <w:shd w:val="clear" w:color="auto" w:fill="auto"/>
          </w:tcPr>
          <w:p w14:paraId="0CAFE409" w14:textId="77777777" w:rsidR="001F3DAE" w:rsidRPr="00B84D38" w:rsidRDefault="001F3DAE" w:rsidP="003959D4">
            <w:pPr>
              <w:rPr>
                <w:i/>
                <w:sz w:val="22"/>
                <w:szCs w:val="22"/>
                <w:lang w:val="en-US"/>
              </w:rPr>
            </w:pPr>
          </w:p>
        </w:tc>
        <w:tc>
          <w:tcPr>
            <w:tcW w:w="965" w:type="pct"/>
          </w:tcPr>
          <w:p w14:paraId="52CBDF65"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72461362" w14:textId="77777777" w:rsidR="001F3DAE" w:rsidRPr="00B84D38" w:rsidRDefault="001F3DAE" w:rsidP="003959D4">
            <w:pPr>
              <w:jc w:val="center"/>
              <w:rPr>
                <w:i/>
                <w:sz w:val="22"/>
                <w:szCs w:val="22"/>
              </w:rPr>
            </w:pPr>
            <w:proofErr w:type="spellStart"/>
            <w:r w:rsidRPr="00B84D38">
              <w:rPr>
                <w:i/>
                <w:sz w:val="22"/>
                <w:szCs w:val="22"/>
              </w:rPr>
              <w:t>шт</w:t>
            </w:r>
            <w:proofErr w:type="spellEnd"/>
          </w:p>
        </w:tc>
        <w:tc>
          <w:tcPr>
            <w:tcW w:w="457" w:type="pct"/>
            <w:vAlign w:val="center"/>
          </w:tcPr>
          <w:p w14:paraId="056293D0" w14:textId="77777777" w:rsidR="001F3DAE" w:rsidRPr="00B84D38" w:rsidRDefault="001F3DAE" w:rsidP="003959D4">
            <w:pPr>
              <w:jc w:val="center"/>
              <w:rPr>
                <w:i/>
                <w:sz w:val="22"/>
                <w:szCs w:val="22"/>
              </w:rPr>
            </w:pPr>
          </w:p>
        </w:tc>
        <w:tc>
          <w:tcPr>
            <w:tcW w:w="612" w:type="pct"/>
            <w:vAlign w:val="center"/>
          </w:tcPr>
          <w:p w14:paraId="31CD33C2" w14:textId="77777777" w:rsidR="001F3DAE" w:rsidRPr="00B84D38" w:rsidRDefault="001F3DAE" w:rsidP="003959D4">
            <w:pPr>
              <w:jc w:val="center"/>
              <w:rPr>
                <w:i/>
                <w:sz w:val="22"/>
                <w:szCs w:val="22"/>
              </w:rPr>
            </w:pPr>
          </w:p>
        </w:tc>
        <w:tc>
          <w:tcPr>
            <w:tcW w:w="613" w:type="pct"/>
            <w:vAlign w:val="center"/>
          </w:tcPr>
          <w:p w14:paraId="28475EDD" w14:textId="77777777" w:rsidR="001F3DAE" w:rsidRPr="00B84D38" w:rsidRDefault="001F3DAE" w:rsidP="003959D4">
            <w:pPr>
              <w:jc w:val="center"/>
              <w:rPr>
                <w:i/>
                <w:sz w:val="22"/>
                <w:szCs w:val="22"/>
              </w:rPr>
            </w:pPr>
          </w:p>
        </w:tc>
      </w:tr>
      <w:tr w:rsidR="001F3DAE" w:rsidRPr="00B84D38" w14:paraId="024FAD72" w14:textId="77777777" w:rsidTr="003959D4">
        <w:trPr>
          <w:jc w:val="center"/>
        </w:trPr>
        <w:tc>
          <w:tcPr>
            <w:tcW w:w="243" w:type="pct"/>
            <w:vAlign w:val="center"/>
          </w:tcPr>
          <w:p w14:paraId="3B68F852" w14:textId="77777777" w:rsidR="001F3DAE" w:rsidRPr="00B84D38" w:rsidRDefault="001F3DAE" w:rsidP="003959D4">
            <w:pPr>
              <w:rPr>
                <w:b/>
                <w:i/>
                <w:sz w:val="22"/>
                <w:szCs w:val="22"/>
              </w:rPr>
            </w:pPr>
          </w:p>
        </w:tc>
        <w:tc>
          <w:tcPr>
            <w:tcW w:w="1627" w:type="pct"/>
            <w:vAlign w:val="center"/>
          </w:tcPr>
          <w:p w14:paraId="450B3CD4" w14:textId="77777777" w:rsidR="001F3DAE" w:rsidRPr="00B84D38" w:rsidRDefault="001F3DAE" w:rsidP="003959D4">
            <w:pPr>
              <w:rPr>
                <w:b/>
                <w:i/>
                <w:sz w:val="22"/>
                <w:szCs w:val="22"/>
              </w:rPr>
            </w:pPr>
            <w:r w:rsidRPr="00B84D38">
              <w:rPr>
                <w:b/>
                <w:i/>
                <w:sz w:val="22"/>
                <w:szCs w:val="22"/>
              </w:rPr>
              <w:t xml:space="preserve">Итого: </w:t>
            </w:r>
          </w:p>
        </w:tc>
        <w:tc>
          <w:tcPr>
            <w:tcW w:w="965" w:type="pct"/>
            <w:vAlign w:val="center"/>
          </w:tcPr>
          <w:p w14:paraId="5B295F17" w14:textId="77777777" w:rsidR="001F3DAE" w:rsidRPr="00B84D38" w:rsidRDefault="001F3DAE" w:rsidP="003959D4">
            <w:pPr>
              <w:rPr>
                <w:b/>
                <w:i/>
                <w:sz w:val="22"/>
                <w:szCs w:val="22"/>
              </w:rPr>
            </w:pPr>
          </w:p>
        </w:tc>
        <w:tc>
          <w:tcPr>
            <w:tcW w:w="482" w:type="pct"/>
            <w:vAlign w:val="center"/>
          </w:tcPr>
          <w:p w14:paraId="5D31D988" w14:textId="77777777" w:rsidR="001F3DAE" w:rsidRPr="00B84D38" w:rsidRDefault="001F3DAE" w:rsidP="003959D4">
            <w:pPr>
              <w:rPr>
                <w:b/>
                <w:i/>
                <w:sz w:val="22"/>
                <w:szCs w:val="22"/>
              </w:rPr>
            </w:pPr>
          </w:p>
        </w:tc>
        <w:tc>
          <w:tcPr>
            <w:tcW w:w="457" w:type="pct"/>
            <w:vAlign w:val="center"/>
          </w:tcPr>
          <w:p w14:paraId="5C7330FD" w14:textId="77777777" w:rsidR="001F3DAE" w:rsidRPr="00B84D38" w:rsidRDefault="001F3DAE" w:rsidP="003959D4">
            <w:pPr>
              <w:rPr>
                <w:b/>
                <w:i/>
                <w:sz w:val="22"/>
                <w:szCs w:val="22"/>
              </w:rPr>
            </w:pPr>
          </w:p>
        </w:tc>
        <w:tc>
          <w:tcPr>
            <w:tcW w:w="612" w:type="pct"/>
            <w:vAlign w:val="center"/>
          </w:tcPr>
          <w:p w14:paraId="4A2B3A0B" w14:textId="77777777" w:rsidR="001F3DAE" w:rsidRPr="00B84D38" w:rsidRDefault="001F3DAE" w:rsidP="003959D4">
            <w:pPr>
              <w:rPr>
                <w:b/>
                <w:i/>
                <w:sz w:val="22"/>
                <w:szCs w:val="22"/>
              </w:rPr>
            </w:pPr>
          </w:p>
        </w:tc>
        <w:tc>
          <w:tcPr>
            <w:tcW w:w="613" w:type="pct"/>
            <w:vAlign w:val="center"/>
          </w:tcPr>
          <w:p w14:paraId="775E938E" w14:textId="77777777" w:rsidR="001F3DAE" w:rsidRPr="00B84D38" w:rsidRDefault="001F3DAE" w:rsidP="003959D4">
            <w:pPr>
              <w:rPr>
                <w:b/>
                <w:i/>
                <w:sz w:val="22"/>
                <w:szCs w:val="22"/>
              </w:rPr>
            </w:pPr>
          </w:p>
        </w:tc>
      </w:tr>
      <w:tr w:rsidR="001F3DAE" w:rsidRPr="00B84D38" w14:paraId="3F05E24E" w14:textId="77777777" w:rsidTr="003959D4">
        <w:trPr>
          <w:jc w:val="center"/>
        </w:trPr>
        <w:tc>
          <w:tcPr>
            <w:tcW w:w="243" w:type="pct"/>
            <w:vAlign w:val="center"/>
          </w:tcPr>
          <w:p w14:paraId="45BD8F75" w14:textId="77777777" w:rsidR="001F3DAE" w:rsidRPr="00B84D38" w:rsidRDefault="001F3DAE" w:rsidP="003959D4">
            <w:pPr>
              <w:rPr>
                <w:b/>
                <w:i/>
                <w:sz w:val="22"/>
                <w:szCs w:val="22"/>
              </w:rPr>
            </w:pPr>
          </w:p>
        </w:tc>
        <w:tc>
          <w:tcPr>
            <w:tcW w:w="1627" w:type="pct"/>
            <w:vAlign w:val="center"/>
          </w:tcPr>
          <w:p w14:paraId="14355952" w14:textId="77777777" w:rsidR="001F3DAE" w:rsidRPr="00B84D38" w:rsidRDefault="001F3DAE" w:rsidP="003959D4">
            <w:pPr>
              <w:rPr>
                <w:b/>
                <w:i/>
                <w:sz w:val="22"/>
                <w:szCs w:val="22"/>
              </w:rPr>
            </w:pPr>
            <w:r w:rsidRPr="00B84D38">
              <w:rPr>
                <w:b/>
                <w:i/>
                <w:sz w:val="22"/>
                <w:szCs w:val="22"/>
              </w:rPr>
              <w:t xml:space="preserve">НДС 20%: </w:t>
            </w:r>
          </w:p>
        </w:tc>
        <w:tc>
          <w:tcPr>
            <w:tcW w:w="965" w:type="pct"/>
            <w:vAlign w:val="center"/>
          </w:tcPr>
          <w:p w14:paraId="5DB052CA" w14:textId="77777777" w:rsidR="001F3DAE" w:rsidRPr="00B84D38" w:rsidRDefault="001F3DAE" w:rsidP="003959D4">
            <w:pPr>
              <w:rPr>
                <w:b/>
                <w:i/>
                <w:sz w:val="22"/>
                <w:szCs w:val="22"/>
              </w:rPr>
            </w:pPr>
          </w:p>
        </w:tc>
        <w:tc>
          <w:tcPr>
            <w:tcW w:w="482" w:type="pct"/>
            <w:vAlign w:val="center"/>
          </w:tcPr>
          <w:p w14:paraId="5064EB78" w14:textId="77777777" w:rsidR="001F3DAE" w:rsidRPr="00B84D38" w:rsidRDefault="001F3DAE" w:rsidP="003959D4">
            <w:pPr>
              <w:rPr>
                <w:b/>
                <w:i/>
                <w:sz w:val="22"/>
                <w:szCs w:val="22"/>
              </w:rPr>
            </w:pPr>
          </w:p>
        </w:tc>
        <w:tc>
          <w:tcPr>
            <w:tcW w:w="457" w:type="pct"/>
            <w:vAlign w:val="center"/>
          </w:tcPr>
          <w:p w14:paraId="4AAA3D80" w14:textId="77777777" w:rsidR="001F3DAE" w:rsidRPr="00B84D38" w:rsidRDefault="001F3DAE" w:rsidP="003959D4">
            <w:pPr>
              <w:rPr>
                <w:b/>
                <w:i/>
                <w:sz w:val="22"/>
                <w:szCs w:val="22"/>
              </w:rPr>
            </w:pPr>
          </w:p>
        </w:tc>
        <w:tc>
          <w:tcPr>
            <w:tcW w:w="612" w:type="pct"/>
            <w:vAlign w:val="center"/>
          </w:tcPr>
          <w:p w14:paraId="0006285A" w14:textId="77777777" w:rsidR="001F3DAE" w:rsidRPr="00B84D38" w:rsidRDefault="001F3DAE" w:rsidP="003959D4">
            <w:pPr>
              <w:rPr>
                <w:b/>
                <w:i/>
                <w:sz w:val="22"/>
                <w:szCs w:val="22"/>
              </w:rPr>
            </w:pPr>
          </w:p>
        </w:tc>
        <w:tc>
          <w:tcPr>
            <w:tcW w:w="613" w:type="pct"/>
            <w:vAlign w:val="center"/>
          </w:tcPr>
          <w:p w14:paraId="0746B7CD" w14:textId="77777777" w:rsidR="001F3DAE" w:rsidRPr="00B84D38" w:rsidRDefault="001F3DAE" w:rsidP="003959D4">
            <w:pPr>
              <w:rPr>
                <w:b/>
                <w:i/>
                <w:sz w:val="22"/>
                <w:szCs w:val="22"/>
              </w:rPr>
            </w:pPr>
          </w:p>
        </w:tc>
      </w:tr>
      <w:tr w:rsidR="001F3DAE" w:rsidRPr="00B84D38" w14:paraId="0DBD0F0F" w14:textId="77777777" w:rsidTr="003959D4">
        <w:trPr>
          <w:jc w:val="center"/>
        </w:trPr>
        <w:tc>
          <w:tcPr>
            <w:tcW w:w="243" w:type="pct"/>
            <w:vAlign w:val="center"/>
          </w:tcPr>
          <w:p w14:paraId="5FC79F9F" w14:textId="77777777" w:rsidR="001F3DAE" w:rsidRPr="00B84D38" w:rsidRDefault="001F3DAE" w:rsidP="003959D4">
            <w:pPr>
              <w:rPr>
                <w:b/>
                <w:i/>
                <w:sz w:val="22"/>
                <w:szCs w:val="22"/>
              </w:rPr>
            </w:pPr>
          </w:p>
        </w:tc>
        <w:tc>
          <w:tcPr>
            <w:tcW w:w="1627" w:type="pct"/>
            <w:vAlign w:val="center"/>
          </w:tcPr>
          <w:p w14:paraId="084383DC" w14:textId="77777777" w:rsidR="001F3DAE" w:rsidRPr="00B84D38" w:rsidRDefault="001F3DAE" w:rsidP="003959D4">
            <w:pPr>
              <w:rPr>
                <w:b/>
                <w:i/>
                <w:sz w:val="22"/>
                <w:szCs w:val="22"/>
              </w:rPr>
            </w:pPr>
            <w:r w:rsidRPr="00B84D38">
              <w:rPr>
                <w:b/>
                <w:i/>
                <w:sz w:val="22"/>
                <w:szCs w:val="22"/>
              </w:rPr>
              <w:t xml:space="preserve">Всего с НДС: </w:t>
            </w:r>
          </w:p>
        </w:tc>
        <w:tc>
          <w:tcPr>
            <w:tcW w:w="965" w:type="pct"/>
            <w:vAlign w:val="center"/>
          </w:tcPr>
          <w:p w14:paraId="21265462" w14:textId="77777777" w:rsidR="001F3DAE" w:rsidRPr="00B84D38" w:rsidRDefault="001F3DAE" w:rsidP="003959D4">
            <w:pPr>
              <w:rPr>
                <w:b/>
                <w:i/>
                <w:sz w:val="22"/>
                <w:szCs w:val="22"/>
              </w:rPr>
            </w:pPr>
          </w:p>
        </w:tc>
        <w:tc>
          <w:tcPr>
            <w:tcW w:w="482" w:type="pct"/>
            <w:vAlign w:val="center"/>
          </w:tcPr>
          <w:p w14:paraId="567FF5B0" w14:textId="77777777" w:rsidR="001F3DAE" w:rsidRPr="00B84D38" w:rsidRDefault="001F3DAE" w:rsidP="003959D4">
            <w:pPr>
              <w:rPr>
                <w:b/>
                <w:i/>
                <w:sz w:val="22"/>
                <w:szCs w:val="22"/>
              </w:rPr>
            </w:pPr>
          </w:p>
        </w:tc>
        <w:tc>
          <w:tcPr>
            <w:tcW w:w="457" w:type="pct"/>
            <w:vAlign w:val="center"/>
          </w:tcPr>
          <w:p w14:paraId="060142B9" w14:textId="77777777" w:rsidR="001F3DAE" w:rsidRPr="00B84D38" w:rsidRDefault="001F3DAE" w:rsidP="003959D4">
            <w:pPr>
              <w:rPr>
                <w:b/>
                <w:i/>
                <w:sz w:val="22"/>
                <w:szCs w:val="22"/>
              </w:rPr>
            </w:pPr>
          </w:p>
        </w:tc>
        <w:tc>
          <w:tcPr>
            <w:tcW w:w="612" w:type="pct"/>
            <w:vAlign w:val="center"/>
          </w:tcPr>
          <w:p w14:paraId="79696841" w14:textId="77777777" w:rsidR="001F3DAE" w:rsidRPr="00B84D38" w:rsidRDefault="001F3DAE" w:rsidP="003959D4">
            <w:pPr>
              <w:rPr>
                <w:b/>
                <w:i/>
                <w:sz w:val="22"/>
                <w:szCs w:val="22"/>
              </w:rPr>
            </w:pPr>
          </w:p>
        </w:tc>
        <w:tc>
          <w:tcPr>
            <w:tcW w:w="613" w:type="pct"/>
            <w:vAlign w:val="center"/>
          </w:tcPr>
          <w:p w14:paraId="5BD17687" w14:textId="77777777" w:rsidR="001F3DAE" w:rsidRPr="00B84D38" w:rsidRDefault="001F3DAE" w:rsidP="003959D4">
            <w:pPr>
              <w:rPr>
                <w:b/>
                <w:i/>
                <w:sz w:val="22"/>
                <w:szCs w:val="22"/>
              </w:rPr>
            </w:pPr>
          </w:p>
        </w:tc>
      </w:tr>
    </w:tbl>
    <w:p w14:paraId="28F76926" w14:textId="77777777" w:rsidR="001F3DAE" w:rsidRPr="00B84D38" w:rsidRDefault="001F3DAE" w:rsidP="001F3DAE">
      <w:pPr>
        <w:tabs>
          <w:tab w:val="left" w:pos="245"/>
        </w:tabs>
        <w:rPr>
          <w:i/>
          <w:sz w:val="22"/>
          <w:szCs w:val="22"/>
        </w:rPr>
      </w:pPr>
    </w:p>
    <w:p w14:paraId="3689A136" w14:textId="77777777" w:rsidR="001F3DAE" w:rsidRDefault="001F3DAE" w:rsidP="001F3DAE">
      <w:pPr>
        <w:tabs>
          <w:tab w:val="left" w:pos="245"/>
          <w:tab w:val="left" w:pos="7560"/>
        </w:tabs>
        <w:rPr>
          <w:i/>
          <w:sz w:val="22"/>
          <w:szCs w:val="22"/>
        </w:rPr>
      </w:pPr>
    </w:p>
    <w:p w14:paraId="2A3B44D3" w14:textId="081E53B3" w:rsidR="00542924" w:rsidRDefault="00542924" w:rsidP="001F3DAE">
      <w:pPr>
        <w:tabs>
          <w:tab w:val="left" w:pos="245"/>
          <w:tab w:val="left" w:pos="7560"/>
        </w:tabs>
        <w:rPr>
          <w:i/>
          <w:sz w:val="22"/>
          <w:szCs w:val="22"/>
        </w:rPr>
      </w:pPr>
      <w:r>
        <w:rPr>
          <w:i/>
          <w:sz w:val="22"/>
          <w:szCs w:val="22"/>
        </w:rPr>
        <w:t>Срок поставки: __________________</w:t>
      </w:r>
    </w:p>
    <w:p w14:paraId="054B0CFD" w14:textId="556B5657" w:rsidR="00542924" w:rsidRDefault="00542924" w:rsidP="001F3DAE">
      <w:pPr>
        <w:tabs>
          <w:tab w:val="left" w:pos="245"/>
          <w:tab w:val="left" w:pos="7560"/>
        </w:tabs>
        <w:rPr>
          <w:i/>
          <w:sz w:val="22"/>
          <w:szCs w:val="22"/>
        </w:rPr>
      </w:pPr>
      <w:r>
        <w:rPr>
          <w:i/>
          <w:sz w:val="22"/>
          <w:szCs w:val="22"/>
        </w:rPr>
        <w:t>Условия поставки (самовывоз, доставка, транспортная компания) ________________</w:t>
      </w:r>
    </w:p>
    <w:p w14:paraId="44E4E51F" w14:textId="77777777" w:rsidR="00542924" w:rsidRPr="00B84D38" w:rsidRDefault="00542924" w:rsidP="001F3DAE">
      <w:pPr>
        <w:tabs>
          <w:tab w:val="left" w:pos="245"/>
          <w:tab w:val="left" w:pos="7560"/>
        </w:tabs>
        <w:rPr>
          <w:i/>
          <w:sz w:val="22"/>
          <w:szCs w:val="22"/>
        </w:rPr>
      </w:pPr>
    </w:p>
    <w:p w14:paraId="58FA5641" w14:textId="77777777" w:rsidR="001F3DAE" w:rsidRPr="00B84D38" w:rsidRDefault="001F3DAE" w:rsidP="001F3DAE">
      <w:pPr>
        <w:tabs>
          <w:tab w:val="left" w:pos="245"/>
          <w:tab w:val="left" w:pos="7560"/>
        </w:tabs>
        <w:rPr>
          <w:i/>
          <w:sz w:val="22"/>
          <w:szCs w:val="22"/>
        </w:rPr>
      </w:pPr>
      <w:r w:rsidRPr="00B84D38">
        <w:rPr>
          <w:i/>
          <w:sz w:val="22"/>
          <w:szCs w:val="22"/>
        </w:rPr>
        <w:t xml:space="preserve"> ПОСТАВЩИК: </w:t>
      </w:r>
      <w:r w:rsidRPr="00B84D38">
        <w:rPr>
          <w:i/>
          <w:sz w:val="22"/>
          <w:szCs w:val="22"/>
        </w:rPr>
        <w:tab/>
        <w:t>ПОКУПАТЕЛЬ:</w:t>
      </w:r>
    </w:p>
    <w:p w14:paraId="16CBD9F3" w14:textId="77777777" w:rsidR="001F3DAE" w:rsidRPr="00B84D38" w:rsidRDefault="001F3DAE" w:rsidP="001F3DAE">
      <w:pPr>
        <w:tabs>
          <w:tab w:val="left" w:pos="245"/>
          <w:tab w:val="left" w:pos="7380"/>
        </w:tabs>
        <w:rPr>
          <w:i/>
          <w:sz w:val="22"/>
          <w:szCs w:val="22"/>
        </w:rPr>
      </w:pPr>
      <w:r w:rsidRPr="00B84D38">
        <w:rPr>
          <w:i/>
          <w:sz w:val="22"/>
          <w:szCs w:val="22"/>
        </w:rPr>
        <w:t>_____________________/____________/</w:t>
      </w:r>
      <w:r w:rsidRPr="00B84D38">
        <w:rPr>
          <w:i/>
          <w:sz w:val="22"/>
          <w:szCs w:val="22"/>
        </w:rPr>
        <w:tab/>
        <w:t xml:space="preserve"> _____________________ /____________/</w:t>
      </w:r>
    </w:p>
    <w:p w14:paraId="25750D0E" w14:textId="77777777" w:rsidR="001F3DAE" w:rsidRPr="00B84D38" w:rsidRDefault="001F3DAE" w:rsidP="001F3DAE">
      <w:pPr>
        <w:tabs>
          <w:tab w:val="left" w:pos="245"/>
        </w:tabs>
        <w:rPr>
          <w:i/>
          <w:sz w:val="22"/>
          <w:szCs w:val="22"/>
        </w:rPr>
      </w:pPr>
    </w:p>
    <w:p w14:paraId="16829A65" w14:textId="77777777" w:rsidR="001F3DAE" w:rsidRPr="00B84D38" w:rsidRDefault="001F3DAE" w:rsidP="001F3DAE">
      <w:pPr>
        <w:tabs>
          <w:tab w:val="left" w:pos="245"/>
          <w:tab w:val="left" w:pos="7920"/>
        </w:tabs>
        <w:rPr>
          <w:b/>
          <w:i/>
          <w:sz w:val="22"/>
          <w:szCs w:val="22"/>
        </w:rPr>
      </w:pPr>
      <w:r w:rsidRPr="00B84D38">
        <w:rPr>
          <w:b/>
          <w:i/>
          <w:sz w:val="22"/>
          <w:szCs w:val="22"/>
        </w:rPr>
        <w:tab/>
        <w:t xml:space="preserve"> М.П. </w:t>
      </w:r>
      <w:r w:rsidRPr="00B84D38">
        <w:rPr>
          <w:b/>
          <w:i/>
          <w:sz w:val="22"/>
          <w:szCs w:val="22"/>
        </w:rPr>
        <w:tab/>
        <w:t>М.П.</w:t>
      </w:r>
    </w:p>
    <w:p w14:paraId="2B69D309" w14:textId="77777777" w:rsidR="001F3DAE" w:rsidRPr="00B84D38" w:rsidRDefault="001F3DAE" w:rsidP="001F3DAE">
      <w:pPr>
        <w:ind w:right="57"/>
        <w:jc w:val="right"/>
        <w:rPr>
          <w:b/>
          <w:bCs/>
          <w:color w:val="000000"/>
          <w:sz w:val="22"/>
          <w:szCs w:val="22"/>
        </w:rPr>
      </w:pPr>
    </w:p>
    <w:p w14:paraId="5CC8C88E" w14:textId="77777777" w:rsidR="003B7F14" w:rsidRPr="00B84D38" w:rsidRDefault="003B7F14">
      <w:pPr>
        <w:rPr>
          <w:sz w:val="22"/>
          <w:szCs w:val="22"/>
        </w:rPr>
      </w:pPr>
    </w:p>
    <w:sectPr w:rsidR="003B7F14" w:rsidRPr="00B84D38" w:rsidSect="00B84D38">
      <w:footerReference w:type="default" r:id="rId7"/>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8575" w14:textId="77777777" w:rsidR="00D44D48" w:rsidRDefault="00D44D48">
      <w:r>
        <w:separator/>
      </w:r>
    </w:p>
  </w:endnote>
  <w:endnote w:type="continuationSeparator" w:id="0">
    <w:p w14:paraId="04AB0DE0" w14:textId="77777777" w:rsidR="00D44D48" w:rsidRDefault="00D4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88B" w14:textId="77777777" w:rsidR="00707D40" w:rsidRDefault="00000000">
    <w:pPr>
      <w:pStyle w:val="a5"/>
      <w:jc w:val="center"/>
    </w:pPr>
    <w:r>
      <w:fldChar w:fldCharType="begin"/>
    </w:r>
    <w:r>
      <w:instrText>PAGE   \* MERGEFORMAT</w:instrText>
    </w:r>
    <w:r>
      <w:fldChar w:fldCharType="separate"/>
    </w:r>
    <w:r>
      <w:rPr>
        <w:noProof/>
      </w:rPr>
      <w:t>2</w:t>
    </w:r>
    <w:r>
      <w:fldChar w:fldCharType="end"/>
    </w:r>
  </w:p>
  <w:p w14:paraId="29A16FC9" w14:textId="77777777" w:rsidR="00707D40" w:rsidRDefault="0070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674C" w14:textId="77777777" w:rsidR="00D44D48" w:rsidRDefault="00D44D48">
      <w:r>
        <w:separator/>
      </w:r>
    </w:p>
  </w:footnote>
  <w:footnote w:type="continuationSeparator" w:id="0">
    <w:p w14:paraId="25B8E39F" w14:textId="77777777" w:rsidR="00D44D48" w:rsidRDefault="00D44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0A4A1D"/>
    <w:rsid w:val="000C0087"/>
    <w:rsid w:val="000D45A3"/>
    <w:rsid w:val="00127079"/>
    <w:rsid w:val="0015006A"/>
    <w:rsid w:val="00151AC8"/>
    <w:rsid w:val="00155019"/>
    <w:rsid w:val="001F3DAE"/>
    <w:rsid w:val="00240BAF"/>
    <w:rsid w:val="0025289E"/>
    <w:rsid w:val="00387E95"/>
    <w:rsid w:val="003B7F14"/>
    <w:rsid w:val="00542924"/>
    <w:rsid w:val="00616177"/>
    <w:rsid w:val="00697617"/>
    <w:rsid w:val="00707D40"/>
    <w:rsid w:val="007333F9"/>
    <w:rsid w:val="00780615"/>
    <w:rsid w:val="00851F5C"/>
    <w:rsid w:val="0089065A"/>
    <w:rsid w:val="00B01225"/>
    <w:rsid w:val="00B84D38"/>
    <w:rsid w:val="00C0295A"/>
    <w:rsid w:val="00C908C2"/>
    <w:rsid w:val="00D44D48"/>
    <w:rsid w:val="00E201F0"/>
    <w:rsid w:val="00EB0293"/>
    <w:rsid w:val="00F91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952D"/>
  <w15:chartTrackingRefBased/>
  <w15:docId w15:val="{5180F90E-90AB-43CF-95D9-5088F84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AE"/>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F3DAE"/>
    <w:pPr>
      <w:jc w:val="both"/>
    </w:pPr>
    <w:rPr>
      <w:sz w:val="22"/>
    </w:rPr>
  </w:style>
  <w:style w:type="character" w:customStyle="1" w:styleId="20">
    <w:name w:val="Основной текст 2 Знак"/>
    <w:basedOn w:val="a0"/>
    <w:link w:val="2"/>
    <w:rsid w:val="001F3DAE"/>
    <w:rPr>
      <w:rFonts w:ascii="Times New Roman" w:eastAsia="Times New Roman" w:hAnsi="Times New Roman" w:cs="Times New Roman"/>
      <w:kern w:val="0"/>
      <w:szCs w:val="20"/>
      <w:lang w:eastAsia="ru-RU"/>
      <w14:ligatures w14:val="none"/>
    </w:rPr>
  </w:style>
  <w:style w:type="paragraph" w:customStyle="1" w:styleId="1">
    <w:name w:val="Обычный1"/>
    <w:rsid w:val="001F3DAE"/>
    <w:pPr>
      <w:widowControl w:val="0"/>
      <w:spacing w:after="0" w:line="300" w:lineRule="auto"/>
      <w:ind w:left="40"/>
    </w:pPr>
    <w:rPr>
      <w:rFonts w:ascii="Times New Roman" w:eastAsia="Times New Roman" w:hAnsi="Times New Roman" w:cs="Times New Roman"/>
      <w:snapToGrid w:val="0"/>
      <w:kern w:val="0"/>
      <w:szCs w:val="20"/>
      <w:lang w:eastAsia="ru-RU"/>
      <w14:ligatures w14:val="none"/>
    </w:rPr>
  </w:style>
  <w:style w:type="paragraph" w:customStyle="1" w:styleId="a3">
    <w:name w:val="Название"/>
    <w:basedOn w:val="a"/>
    <w:qFormat/>
    <w:rsid w:val="001F3DAE"/>
    <w:pPr>
      <w:spacing w:line="360" w:lineRule="auto"/>
      <w:jc w:val="center"/>
    </w:pPr>
    <w:rPr>
      <w:b/>
      <w:sz w:val="28"/>
    </w:rPr>
  </w:style>
  <w:style w:type="character" w:styleId="a4">
    <w:name w:val="Hyperlink"/>
    <w:uiPriority w:val="99"/>
    <w:unhideWhenUsed/>
    <w:rsid w:val="001F3DAE"/>
    <w:rPr>
      <w:color w:val="0000FF"/>
      <w:u w:val="single"/>
    </w:rPr>
  </w:style>
  <w:style w:type="paragraph" w:styleId="a5">
    <w:name w:val="footer"/>
    <w:basedOn w:val="a"/>
    <w:link w:val="a6"/>
    <w:uiPriority w:val="99"/>
    <w:unhideWhenUsed/>
    <w:rsid w:val="001F3DAE"/>
    <w:pPr>
      <w:tabs>
        <w:tab w:val="center" w:pos="4677"/>
        <w:tab w:val="right" w:pos="9355"/>
      </w:tabs>
    </w:pPr>
  </w:style>
  <w:style w:type="character" w:customStyle="1" w:styleId="a6">
    <w:name w:val="Нижний колонтитул Знак"/>
    <w:basedOn w:val="a0"/>
    <w:link w:val="a5"/>
    <w:uiPriority w:val="99"/>
    <w:rsid w:val="001F3DAE"/>
    <w:rPr>
      <w:rFonts w:ascii="Times New Roman" w:eastAsia="Times New Roman" w:hAnsi="Times New Roman" w:cs="Times New Roman"/>
      <w:kern w:val="0"/>
      <w:sz w:val="20"/>
      <w:szCs w:val="20"/>
      <w:lang w:eastAsia="ru-RU"/>
      <w14:ligatures w14:val="none"/>
    </w:rPr>
  </w:style>
  <w:style w:type="paragraph" w:customStyle="1" w:styleId="a7">
    <w:name w:val="Обычный (веб)"/>
    <w:basedOn w:val="a"/>
    <w:uiPriority w:val="99"/>
    <w:semiHidden/>
    <w:unhideWhenUsed/>
    <w:rsid w:val="001F3DAE"/>
    <w:pPr>
      <w:spacing w:before="100" w:beforeAutospacing="1" w:after="100" w:afterAutospacing="1"/>
    </w:pPr>
    <w:rPr>
      <w:sz w:val="24"/>
      <w:szCs w:val="24"/>
    </w:rPr>
  </w:style>
  <w:style w:type="paragraph" w:customStyle="1" w:styleId="ConsPlusNormal">
    <w:name w:val="ConsPlusNormal"/>
    <w:rsid w:val="00B84D38"/>
    <w:pPr>
      <w:widowControl w:val="0"/>
      <w:suppressAutoHyphens/>
      <w:spacing w:after="0" w:line="240" w:lineRule="auto"/>
    </w:pPr>
    <w:rPr>
      <w:rFonts w:ascii="Calibri" w:eastAsia="Times New Roman"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rc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3937</Words>
  <Characters>22446</Characters>
  <Application>Microsoft Office Word</Application>
  <DocSecurity>0</DocSecurity>
  <Lines>187</Lines>
  <Paragraphs>52</Paragraphs>
  <ScaleCrop>false</ScaleCrop>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Данил</cp:lastModifiedBy>
  <cp:revision>14</cp:revision>
  <dcterms:created xsi:type="dcterms:W3CDTF">2025-10-15T10:43:00Z</dcterms:created>
  <dcterms:modified xsi:type="dcterms:W3CDTF">2025-10-16T13:12:00Z</dcterms:modified>
</cp:coreProperties>
</file>