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</w:r>
      <w:r>
        <w:rPr>
          <w:rFonts w:ascii="Times New Roman" w:hAnsi="Times New Roman"/>
          <w:b/>
          <w:spacing w:val="-4"/>
          <w:sz w:val="24"/>
          <w:szCs w:val="24"/>
        </w:rPr>
      </w:r>
      <w:r>
        <w:rPr>
          <w:rFonts w:ascii="Times New Roman" w:hAnsi="Times New Roman"/>
          <w:b/>
          <w:spacing w:val="-4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ТЕХНИЧЕСКОЕ ЗАДАНИЕ </w:t>
      </w:r>
      <w:r>
        <w:rPr>
          <w:rFonts w:ascii="Times New Roman" w:hAnsi="Times New Roman"/>
          <w:b/>
          <w:spacing w:val="-4"/>
          <w:sz w:val="24"/>
          <w:szCs w:val="24"/>
        </w:rPr>
      </w:r>
      <w:r>
        <w:rPr>
          <w:rFonts w:ascii="Times New Roman" w:hAnsi="Times New Roman"/>
          <w:b/>
          <w:spacing w:val="-4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На поставку оборудования и выполнение работ по монтажу системы автоматической пожарной сигнализации АПС и системы оповещения и управления эвакуацией СОУЭ в СХ№1, СХ№2 и СХ№4 на территории  ООО «МОБИ ДИК», </w:t>
      </w:r>
      <w:r>
        <w:rPr>
          <w:rFonts w:ascii="Times New Roman" w:hAnsi="Times New Roman"/>
          <w:b/>
          <w:spacing w:val="-4"/>
          <w:sz w:val="24"/>
          <w:szCs w:val="24"/>
        </w:rPr>
      </w:r>
      <w:r>
        <w:rPr>
          <w:rFonts w:ascii="Times New Roman" w:hAnsi="Times New Roman"/>
          <w:b/>
          <w:spacing w:val="-4"/>
          <w:sz w:val="24"/>
          <w:szCs w:val="24"/>
        </w:rPr>
      </w:r>
    </w:p>
    <w:p>
      <w:pPr>
        <w:jc w:val="center"/>
        <w:spacing w:after="0" w:line="240" w:lineRule="auto"/>
        <w:tabs>
          <w:tab w:val="left" w:pos="5040" w:leader="none"/>
        </w:tabs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(Санкт-Петербург, г. Кронштадт, территория предприятия "Морской портовый комплекс", литера А)</w:t>
      </w:r>
      <w:r>
        <w:rPr>
          <w:rFonts w:ascii="Times New Roman" w:hAnsi="Times New Roman"/>
          <w:b/>
          <w:bCs/>
          <w:spacing w:val="-4"/>
          <w:sz w:val="24"/>
          <w:szCs w:val="24"/>
        </w:rPr>
      </w:r>
      <w:r>
        <w:rPr>
          <w:rFonts w:ascii="Times New Roman" w:hAnsi="Times New Roman"/>
          <w:b/>
          <w:bCs/>
          <w:spacing w:val="-4"/>
          <w:sz w:val="24"/>
          <w:szCs w:val="24"/>
        </w:rPr>
      </w:r>
    </w:p>
    <w:p>
      <w:pPr>
        <w:jc w:val="center"/>
        <w:spacing w:after="0" w:line="240" w:lineRule="auto"/>
        <w:tabs>
          <w:tab w:val="left" w:pos="5040" w:leader="none"/>
        </w:tabs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</w:r>
      <w:r>
        <w:rPr>
          <w:rFonts w:ascii="Times New Roman" w:hAnsi="Times New Roman"/>
          <w:b/>
          <w:spacing w:val="-4"/>
          <w:sz w:val="24"/>
          <w:szCs w:val="24"/>
        </w:rPr>
      </w:r>
      <w:r>
        <w:rPr>
          <w:rFonts w:ascii="Times New Roman" w:hAnsi="Times New Roman"/>
          <w:b/>
          <w:spacing w:val="-4"/>
          <w:sz w:val="24"/>
          <w:szCs w:val="24"/>
        </w:rPr>
      </w:r>
    </w:p>
    <w:tbl>
      <w:tblPr>
        <w:tblW w:w="1020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4"/>
        <w:gridCol w:w="2976"/>
        <w:gridCol w:w="6697"/>
      </w:tblGrid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Место проведения работ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pStyle w:val="77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город Кронштадт, литера А, (Санкт-Петербург, г. Кронштадт, территория предприятия "Морской портовый комплекс", литера 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номер 78:34:0010236:15</w:t>
            </w:r>
            <w:r/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Общество с ограниченной ответственностью «МОБИ ДИК»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Наименование работ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</w:rPr>
              <w:t xml:space="preserve">оставка оборудования </w:t>
            </w:r>
            <w:r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</w:rPr>
              <w:t xml:space="preserve">системы АПС и СОУЭ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3.2. Выполнение работ по монтажу системы АПС и СОУЭ в соответствии с требованиями СП 484.1311500.2020 Системы противопожарной защиты. Системы пожарной сигнализации и автоматизация систем противопожарной защиты. Нормы и правила проектирования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условия проведения работ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tabs>
                <w:tab w:val="left" w:pos="5279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4.1. Начало работ с даты подписания настоящего Договора; Окончание работ не более трех календарных месяцев с момента перечисления авансового платежа;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firstLine="283"/>
              <w:jc w:val="both"/>
              <w:spacing w:after="0" w:line="240" w:lineRule="auto"/>
              <w:tabs>
                <w:tab w:val="left" w:pos="5279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 начала производства работ согласовать с «Заказчиком» календарный план производства работ.;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contextualSpacing/>
              <w:ind w:firstLine="283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Монтаж системы АПС и СОУЭ  выполняется в соответствии с действующими Правилами, инструкциями заводов-изготовителей оборудования и другими нормативными документами.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ind w:firstLine="283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4.3.Монтажные работы системы АПС и СОУЭ предусматривает обязательный выезд необходимого количества персонала (сервисных инженеров) на выполнение работ по графику ППР.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ind w:firstLine="283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Монтаж производится в соответствии с проектной документацией А01-79-МД-25-РД-АПС.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Источник финансирования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pStyle w:val="936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Собственные средства общества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Режим работы предприятия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vAlign w:val="center"/>
            <w:textDirection w:val="lrTb"/>
            <w:noWrap w:val="false"/>
          </w:tcPr>
          <w:p>
            <w:pPr>
              <w:pStyle w:val="936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Круглосуточный, круглогодичный. Работа на режимной территории, необходимо оформление пропусков.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 к подрядчику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1"/>
              </w:numPr>
              <w:contextualSpacing/>
              <w:ind w:left="0" w:firstLine="0"/>
              <w:jc w:val="both"/>
              <w:spacing w:after="0" w:line="240" w:lineRule="auto"/>
              <w:tabs>
                <w:tab w:val="left" w:pos="513" w:leader="none"/>
              </w:tabs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Наличие квалифицированного персонала.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513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Персонал, привлекаемый к выполнению работ должен иметь: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513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подтверждённый стаж работ в области обслуживания и монтажа систем АПС и СОУЭ не менее 7 (семи) лет.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513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удостоверение по электробезопасности на группу не менее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 1000 В.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513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протокол прохождения программ дополнительного профессионального образования( ДПО);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513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протокол аттестации (удостоверение) по охране труда.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513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7.2. Наличие действующей лицензии МЧС на проведение работ.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7.3. Сертификат на проектирование, монтаж и ТО систем безопасности соответствие ГОСТ 12.0.230-2007.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Перечень и объем требуемых работ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vAlign w:val="center"/>
            <w:textDirection w:val="lrTb"/>
            <w:noWrap w:val="false"/>
          </w:tcPr>
          <w:p>
            <w:pPr>
              <w:pStyle w:val="936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соответствии с Приложением №1,  к настоящему ТЗ.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 к отчетным материалам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pStyle w:val="936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Исполнительная документация должна вестись в соответствии с действующими нормативными документами.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36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После проведения монтажа системы АПС и СОУЭ предоставить документы бухгалтерской отчетности согласно выполненных работ.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74" w:lineRule="exact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Особые требования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pStyle w:val="936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Работы выполняются силами и средствами Исполнителя в условиях действующего предприятия и ежемесячно согласовываются с главным инженером и ответственным за пожарную безопасность Общества. 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74" w:lineRule="exact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 к сметной документации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606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74" w:lineRule="exact"/>
              <w:shd w:val="clear" w:color="auto" w:fill="ffffff"/>
              <w:tabs>
                <w:tab w:val="left" w:pos="795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 к технике безопасности и санитарно-эпидемиологического благополучия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vAlign w:val="center"/>
            <w:textDirection w:val="lrTb"/>
            <w:noWrap w:val="false"/>
          </w:tcPr>
          <w:p>
            <w:pPr>
              <w:pStyle w:val="936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соответствии с действующими нормами и правилами РФ.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36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соответствии с действующими нормами и правилами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ООО «МОБИ ДИК».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36"/>
              <w:numPr>
                <w:ilvl w:val="1"/>
                <w:numId w:val="1"/>
              </w:numPr>
              <w:ind w:left="0" w:firstLine="0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Руководствоваться ПОТ РО-152-31.82.03-96 «Правила охраны труда в морских портах»; Санитарные правила для морских и речных портов N 4962-89, 2.06.1989 г. 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Дополнительные условия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W w:w="66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13.1 За неисполнение или ненадлежащее исполнение договорных обязательств стороны несут ответственность в соответствии с действующим законодательством РФ.</w:t>
            </w:r>
            <w:r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r>
          </w:p>
        </w:tc>
      </w:tr>
    </w:tbl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</w:r>
      <w:r>
        <w:rPr>
          <w:rFonts w:ascii="Times New Roman" w:hAnsi="Times New Roman"/>
          <w:sz w:val="26"/>
          <w:szCs w:val="24"/>
        </w:rPr>
      </w:r>
      <w:r>
        <w:rPr>
          <w:rFonts w:ascii="Times New Roman" w:hAnsi="Times New Roman"/>
          <w:sz w:val="26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1– Ведомость объема работ;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</w:r>
      <w:r>
        <w:rPr>
          <w:rFonts w:ascii="Times New Roman" w:hAnsi="Times New Roman"/>
          <w:sz w:val="26"/>
          <w:szCs w:val="24"/>
        </w:rPr>
      </w:r>
      <w:r>
        <w:rPr>
          <w:rFonts w:ascii="Times New Roman" w:hAnsi="Times New Roman"/>
          <w:sz w:val="26"/>
          <w:szCs w:val="24"/>
        </w:rPr>
      </w:r>
    </w:p>
    <w:p>
      <w:pPr>
        <w:ind w:left="-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Разработал: Инженер-энергетик СГИ ООО «МОБИ ДИК»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Д.М. Сафонов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инженер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right"/>
        <w:spacing w:after="0" w:line="240" w:lineRule="auto"/>
        <w:rPr>
          <w:rFonts w:ascii="Times New Roman" w:hAnsi="Times New Roman"/>
          <w:sz w:val="24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568" w:right="850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И.Ю. Карасев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/>
      <w:bookmarkStart w:id="0" w:name="_Hlk62650877"/>
      <w:r/>
      <w:bookmarkEnd w:id="0"/>
      <w:r>
        <w:rPr>
          <w:rFonts w:ascii="Times New Roman" w:hAnsi="Times New Roman"/>
          <w:b/>
          <w:sz w:val="24"/>
          <w:szCs w:val="24"/>
        </w:rPr>
        <w:t xml:space="preserve">Приложение №1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57" w:firstLine="567"/>
        <w:jc w:val="right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</w:r>
      <w:r>
        <w:rPr>
          <w:rFonts w:ascii="Times New Roman" w:hAnsi="Times New Roman"/>
          <w:b/>
          <w:caps/>
          <w:sz w:val="24"/>
          <w:szCs w:val="24"/>
        </w:rPr>
      </w:r>
      <w:r>
        <w:rPr>
          <w:rFonts w:ascii="Times New Roman" w:hAnsi="Times New Roman"/>
          <w:b/>
          <w:caps/>
          <w:sz w:val="24"/>
          <w:szCs w:val="24"/>
        </w:rPr>
      </w:r>
    </w:p>
    <w:tbl>
      <w:tblPr>
        <w:tblStyle w:val="937"/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9752"/>
      </w:tblGrid>
      <w:tr>
        <w:tblPrEx/>
        <w:trPr>
          <w:jc w:val="center"/>
          <w:trHeight w:val="589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5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Ведомость объемов работ.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</w:r>
          </w:p>
        </w:tc>
      </w:tr>
    </w:tbl>
    <w:p>
      <w:r/>
      <w:r/>
    </w:p>
    <w:tbl>
      <w:tblPr>
        <w:tblStyle w:val="937"/>
        <w:tblW w:w="0" w:type="auto"/>
        <w:tblInd w:w="-211" w:type="dxa"/>
        <w:tblLayout w:type="fixed"/>
        <w:tblLook w:val="04A0" w:firstRow="1" w:lastRow="0" w:firstColumn="1" w:lastColumn="0" w:noHBand="0" w:noVBand="1"/>
      </w:tblPr>
      <w:tblGrid>
        <w:gridCol w:w="567"/>
        <w:gridCol w:w="5973"/>
        <w:gridCol w:w="1144"/>
        <w:gridCol w:w="932"/>
        <w:gridCol w:w="1272"/>
      </w:tblGrid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7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пп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973" w:type="dxa"/>
            <w:vAlign w:val="center"/>
            <w:textDirection w:val="lrTb"/>
            <w:noWrap w:val="false"/>
          </w:tcPr>
          <w:p>
            <w:pPr>
              <w:pStyle w:val="779"/>
              <w:ind w:left="-102" w:right="-7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измерения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9888" w:type="dxa"/>
            <w:vAlign w:val="center"/>
            <w:textDirection w:val="lrTb"/>
            <w:noWrap w:val="false"/>
          </w:tcPr>
          <w:p>
            <w:pPr>
              <w:pStyle w:val="779"/>
              <w:ind w:left="-102" w:right="-7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Оборудование на пожарном посту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05"/>
        </w:trPr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Пульт контроля и управления С2000М исп.02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 Блок контроля и индикации С2000-БКИ 2RS485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Преобразователь интерфейса RS-485/232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Ethernet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С2000-Ethernet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Резервированный источник питания РИП-24 исп.57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Аккумулятор 12В 26 А*ч АБ 1226С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9888" w:type="dxa"/>
            <w:vAlign w:val="center"/>
            <w:textDirection w:val="lrTb"/>
            <w:noWrap w:val="false"/>
          </w:tcPr>
          <w:p>
            <w:pPr>
              <w:pStyle w:val="779"/>
              <w:ind w:left="-102" w:right="-7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Склад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Прибор приемно-контрольный охранно-пожарный Сигнал-20М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Преобразователь интерфейса RS-485/232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Ethernet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С2000-Ethernet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Резервированный источник питания ШПС-24 исп.22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Аккумулятор 12В 26 А*ч АБ 1226С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пожарный дымовой ИП 212-45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пожарный ручной ИПР 513-3M IP67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световой (выход-E22) КОП-25П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световой (налево-E04) КОП-25П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световой (направо-E03) КОП-25П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звуковой ОПЗ АНТИШОК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Модуль подключения нагрузки МПН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bookmarkStart w:id="1" w:name="_GoBack"/>
            <w:r>
              <w:rPr>
                <w:sz w:val="24"/>
                <w:szCs w:val="24"/>
              </w:rPr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огнестойкой кабельной линии «Авангард»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9888" w:type="dxa"/>
            <w:vAlign w:val="center"/>
            <w:textDirection w:val="lrTb"/>
            <w:noWrap w:val="false"/>
          </w:tcPr>
          <w:p>
            <w:pPr>
              <w:pStyle w:val="779"/>
              <w:ind w:left="-102" w:right="-7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Склад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Прибор приемно-контрольный охранно-пожарный Сигнал-20М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Преобразователь интерфейса RS-485/232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Ethernet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С2000-Ethernet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Резервированный источник питания ШПС-24 исп.22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Аккумулятор 12В 26 А*ч АБ 1226С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пожарный дымовой ИП 212-45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пожарный ручной ИПР 513-3M IP67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световой (выход-E22) КОП-25П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световой (налево-E04) КОП-25П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световой (направо-E03) КОП-25П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звуковой ОПЗ АНТИШОК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Модуль подключения нагрузки МПН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огнестойкой кабельной линии «Авангард»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9888" w:type="dxa"/>
            <w:vAlign w:val="center"/>
            <w:textDirection w:val="lrTb"/>
            <w:noWrap w:val="false"/>
          </w:tcPr>
          <w:p>
            <w:pPr>
              <w:pStyle w:val="779"/>
              <w:ind w:left="-102" w:right="-7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Склад №4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Прибор приемно-контрольный охранно-пожарный Сигнал-20М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Преобразователь интерфейса RS-485/232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Ethernet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С2000-Ethernet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Резервированный источник питания ШПС-24 исп.22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Аккумулятор 12В 26 А*ч АБ 1226С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пожарный дымовой ИП 212-45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пожарный ручной ИПР 513-3M IP67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световой (выход-E22) КОП-25П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световой (налево-E04) КОП-25П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световой (направо-E03) КОП-25П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Оповещатель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звуковой ОПЗ АНТИШОК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Модуль подключения нагрузки МПН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3" w:type="dxa"/>
            <w:textDirection w:val="lrTb"/>
            <w:noWrap w:val="false"/>
          </w:tcPr>
          <w:p>
            <w:pPr>
              <w:pStyle w:val="779"/>
              <w:ind w:left="-102" w:right="-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огнестойкой кабельной линии «Авангард»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extDirection w:val="lrTb"/>
            <w:noWrap w:val="false"/>
          </w:tcPr>
          <w:p>
            <w:pPr>
              <w:pStyle w:val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left="-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Разработал: Инженер-энергетик СГИ ООО «МОБИ ДИК»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-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Д.М. Сафонов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инженер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И.Ю. Карасев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4105" w:firstLine="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8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5" w:hanging="113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660" w:hanging="4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0.%1"/>
      <w:lvlJc w:val="left"/>
      <w:pPr>
        <w:ind w:left="79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53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13.%1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23" w:hanging="180"/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3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5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3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3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5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3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7"/>
  </w:num>
  <w:num w:numId="3">
    <w:abstractNumId w:val="16"/>
  </w:num>
  <w:num w:numId="4">
    <w:abstractNumId w:val="19"/>
  </w:num>
  <w:num w:numId="5">
    <w:abstractNumId w:val="25"/>
  </w:num>
  <w:num w:numId="6">
    <w:abstractNumId w:val="31"/>
  </w:num>
  <w:num w:numId="7">
    <w:abstractNumId w:val="3"/>
  </w:num>
  <w:num w:numId="8">
    <w:abstractNumId w:val="10"/>
  </w:num>
  <w:num w:numId="9">
    <w:abstractNumId w:val="17"/>
  </w:num>
  <w:num w:numId="10">
    <w:abstractNumId w:val="8"/>
  </w:num>
  <w:num w:numId="11">
    <w:abstractNumId w:val="9"/>
  </w:num>
  <w:num w:numId="12">
    <w:abstractNumId w:val="29"/>
  </w:num>
  <w:num w:numId="13">
    <w:abstractNumId w:val="0"/>
  </w:num>
  <w:num w:numId="14">
    <w:abstractNumId w:val="4"/>
  </w:num>
  <w:num w:numId="15">
    <w:abstractNumId w:val="23"/>
  </w:num>
  <w:num w:numId="16">
    <w:abstractNumId w:val="28"/>
  </w:num>
  <w:num w:numId="17">
    <w:abstractNumId w:val="24"/>
  </w:num>
  <w:num w:numId="18">
    <w:abstractNumId w:val="20"/>
  </w:num>
  <w:num w:numId="19">
    <w:abstractNumId w:val="1"/>
  </w:num>
  <w:num w:numId="20">
    <w:abstractNumId w:val="14"/>
  </w:num>
  <w:num w:numId="21">
    <w:abstractNumId w:val="13"/>
  </w:num>
  <w:num w:numId="22">
    <w:abstractNumId w:val="21"/>
  </w:num>
  <w:num w:numId="23">
    <w:abstractNumId w:val="33"/>
  </w:num>
  <w:num w:numId="24">
    <w:abstractNumId w:val="7"/>
  </w:num>
  <w:num w:numId="25">
    <w:abstractNumId w:val="15"/>
  </w:num>
  <w:num w:numId="26">
    <w:abstractNumId w:val="18"/>
  </w:num>
  <w:num w:numId="27">
    <w:abstractNumId w:val="34"/>
  </w:num>
  <w:num w:numId="28">
    <w:abstractNumId w:val="30"/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1"/>
  </w:num>
  <w:num w:numId="33">
    <w:abstractNumId w:val="12"/>
  </w:num>
  <w:num w:numId="34">
    <w:abstractNumId w:val="5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9" w:default="1">
    <w:name w:val="Normal"/>
    <w:qFormat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740">
    <w:name w:val="Heading 1"/>
    <w:basedOn w:val="739"/>
    <w:next w:val="739"/>
    <w:link w:val="752"/>
    <w:qFormat/>
    <w:pPr>
      <w:jc w:val="both"/>
      <w:keepNext/>
      <w:spacing w:after="6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paragraph" w:styleId="741">
    <w:name w:val="Heading 2"/>
    <w:basedOn w:val="739"/>
    <w:next w:val="739"/>
    <w:link w:val="75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5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Заголовок 1 Знак"/>
    <w:basedOn w:val="749"/>
    <w:link w:val="740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753" w:customStyle="1">
    <w:name w:val="Заголовок 2 Знак"/>
    <w:basedOn w:val="749"/>
    <w:link w:val="741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61" w:customStyle="1">
    <w:name w:val="Heading 2 Char"/>
    <w:basedOn w:val="749"/>
    <w:uiPriority w:val="9"/>
    <w:rPr>
      <w:rFonts w:ascii="Arial" w:hAnsi="Arial" w:eastAsia="Arial" w:cs="Arial"/>
      <w:sz w:val="34"/>
    </w:rPr>
  </w:style>
  <w:style w:type="character" w:styleId="762" w:customStyle="1">
    <w:name w:val="Heading 3 Char"/>
    <w:basedOn w:val="749"/>
    <w:uiPriority w:val="9"/>
    <w:rPr>
      <w:rFonts w:ascii="Arial" w:hAnsi="Arial" w:eastAsia="Arial" w:cs="Arial"/>
      <w:sz w:val="30"/>
      <w:szCs w:val="30"/>
    </w:rPr>
  </w:style>
  <w:style w:type="character" w:styleId="763" w:customStyle="1">
    <w:name w:val="Heading 4 Char"/>
    <w:basedOn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Heading 5 Char"/>
    <w:basedOn w:val="749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Heading 6 Char"/>
    <w:basedOn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Heading 7 Char"/>
    <w:basedOn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49"/>
    <w:uiPriority w:val="9"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49"/>
    <w:uiPriority w:val="10"/>
    <w:rPr>
      <w:sz w:val="48"/>
      <w:szCs w:val="48"/>
    </w:rPr>
  </w:style>
  <w:style w:type="character" w:styleId="770" w:customStyle="1">
    <w:name w:val="Subtitle Char"/>
    <w:basedOn w:val="749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Header Char"/>
    <w:basedOn w:val="749"/>
    <w:uiPriority w:val="99"/>
  </w:style>
  <w:style w:type="character" w:styleId="774" w:customStyle="1">
    <w:name w:val="Footer Char"/>
    <w:basedOn w:val="749"/>
    <w:uiPriority w:val="99"/>
  </w:style>
  <w:style w:type="character" w:styleId="775" w:customStyle="1">
    <w:name w:val="Caption Char"/>
    <w:basedOn w:val="749"/>
    <w:uiPriority w:val="35"/>
    <w:rPr>
      <w:b/>
      <w:bCs/>
      <w:color w:val="5b9bd5" w:themeColor="accent1"/>
      <w:sz w:val="18"/>
      <w:szCs w:val="18"/>
    </w:rPr>
  </w:style>
  <w:style w:type="character" w:styleId="776" w:customStyle="1">
    <w:name w:val="Footnote Text Char"/>
    <w:uiPriority w:val="99"/>
    <w:rPr>
      <w:sz w:val="18"/>
    </w:rPr>
  </w:style>
  <w:style w:type="character" w:styleId="777" w:customStyle="1">
    <w:name w:val="Endnote Text Char"/>
    <w:uiPriority w:val="99"/>
    <w:rPr>
      <w:sz w:val="20"/>
    </w:rPr>
  </w:style>
  <w:style w:type="character" w:styleId="778" w:customStyle="1">
    <w:name w:val="Heading 1 Char"/>
    <w:basedOn w:val="749"/>
    <w:uiPriority w:val="9"/>
    <w:rPr>
      <w:rFonts w:ascii="Arial" w:hAnsi="Arial" w:eastAsia="Arial" w:cs="Arial"/>
      <w:sz w:val="40"/>
      <w:szCs w:val="40"/>
    </w:rPr>
  </w:style>
  <w:style w:type="paragraph" w:styleId="779">
    <w:name w:val="No Spacing"/>
    <w:uiPriority w:val="1"/>
    <w:qFormat/>
    <w:pPr>
      <w:spacing w:after="0" w:line="240" w:lineRule="auto"/>
    </w:pPr>
  </w:style>
  <w:style w:type="paragraph" w:styleId="780">
    <w:name w:val="Title"/>
    <w:basedOn w:val="739"/>
    <w:next w:val="739"/>
    <w:link w:val="781"/>
    <w:uiPriority w:val="10"/>
    <w:qFormat/>
    <w:pPr>
      <w:contextualSpacing/>
      <w:spacing w:before="300"/>
    </w:pPr>
    <w:rPr>
      <w:sz w:val="48"/>
      <w:szCs w:val="48"/>
    </w:rPr>
  </w:style>
  <w:style w:type="character" w:styleId="781" w:customStyle="1">
    <w:name w:val="Заголовок Знак"/>
    <w:basedOn w:val="749"/>
    <w:link w:val="780"/>
    <w:uiPriority w:val="10"/>
    <w:rPr>
      <w:sz w:val="48"/>
      <w:szCs w:val="48"/>
    </w:rPr>
  </w:style>
  <w:style w:type="paragraph" w:styleId="782">
    <w:name w:val="Subtitle"/>
    <w:basedOn w:val="739"/>
    <w:next w:val="739"/>
    <w:link w:val="783"/>
    <w:uiPriority w:val="11"/>
    <w:qFormat/>
    <w:pPr>
      <w:spacing w:before="200"/>
    </w:pPr>
    <w:rPr>
      <w:sz w:val="24"/>
      <w:szCs w:val="24"/>
    </w:rPr>
  </w:style>
  <w:style w:type="character" w:styleId="783" w:customStyle="1">
    <w:name w:val="Подзаголовок Знак"/>
    <w:basedOn w:val="749"/>
    <w:link w:val="782"/>
    <w:uiPriority w:val="11"/>
    <w:rPr>
      <w:sz w:val="24"/>
      <w:szCs w:val="24"/>
    </w:rPr>
  </w:style>
  <w:style w:type="paragraph" w:styleId="784">
    <w:name w:val="Quote"/>
    <w:basedOn w:val="739"/>
    <w:next w:val="739"/>
    <w:link w:val="785"/>
    <w:uiPriority w:val="29"/>
    <w:qFormat/>
    <w:pPr>
      <w:ind w:left="720" w:right="720"/>
    </w:pPr>
    <w:rPr>
      <w:i/>
    </w:rPr>
  </w:style>
  <w:style w:type="character" w:styleId="785" w:customStyle="1">
    <w:name w:val="Цитата 2 Знак"/>
    <w:link w:val="784"/>
    <w:uiPriority w:val="29"/>
    <w:rPr>
      <w:i/>
    </w:rPr>
  </w:style>
  <w:style w:type="paragraph" w:styleId="786">
    <w:name w:val="Intense Quote"/>
    <w:basedOn w:val="739"/>
    <w:next w:val="739"/>
    <w:link w:val="7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 w:customStyle="1">
    <w:name w:val="Выделенная цитата Знак"/>
    <w:link w:val="786"/>
    <w:uiPriority w:val="30"/>
    <w:rPr>
      <w:i/>
    </w:rPr>
  </w:style>
  <w:style w:type="paragraph" w:styleId="788">
    <w:name w:val="Header"/>
    <w:basedOn w:val="739"/>
    <w:link w:val="7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 w:customStyle="1">
    <w:name w:val="Верхний колонтитул Знак"/>
    <w:basedOn w:val="749"/>
    <w:link w:val="788"/>
    <w:uiPriority w:val="99"/>
  </w:style>
  <w:style w:type="paragraph" w:styleId="790">
    <w:name w:val="Footer"/>
    <w:basedOn w:val="739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1" w:customStyle="1">
    <w:name w:val="Нижний колонтитул Знак"/>
    <w:basedOn w:val="749"/>
    <w:link w:val="790"/>
    <w:uiPriority w:val="99"/>
  </w:style>
  <w:style w:type="paragraph" w:styleId="792">
    <w:name w:val="Caption"/>
    <w:basedOn w:val="739"/>
    <w:next w:val="739"/>
    <w:link w:val="79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93" w:customStyle="1">
    <w:name w:val="Название объекта Знак"/>
    <w:basedOn w:val="749"/>
    <w:link w:val="792"/>
    <w:uiPriority w:val="35"/>
    <w:rPr>
      <w:b/>
      <w:bCs/>
      <w:color w:val="5b9bd5" w:themeColor="accent1"/>
      <w:sz w:val="18"/>
      <w:szCs w:val="18"/>
    </w:rPr>
  </w:style>
  <w:style w:type="table" w:styleId="794" w:customStyle="1">
    <w:name w:val="Table Grid Light"/>
    <w:basedOn w:val="75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5">
    <w:name w:val="Plain Table 1"/>
    <w:basedOn w:val="75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2"/>
    <w:basedOn w:val="75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3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>
    <w:name w:val="Plain Table 4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Plain Table 5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>
    <w:name w:val="Grid Table 1 Light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4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 w:customStyle="1">
    <w:name w:val="Grid Table 4 - Accent 1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3" w:customStyle="1">
    <w:name w:val="Grid Table 4 - Accent 2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Grid Table 4 - Accent 3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5" w:customStyle="1">
    <w:name w:val="Grid Table 4 - Accent 4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Grid Table 4 - Accent 5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7" w:customStyle="1">
    <w:name w:val="Grid Table 4 - Accent 6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8">
    <w:name w:val="Grid Table 5 Dark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5">
    <w:name w:val="Grid Table 6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6" w:customStyle="1">
    <w:name w:val="Grid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7" w:customStyle="1">
    <w:name w:val="Grid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8" w:customStyle="1">
    <w:name w:val="Grid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9" w:customStyle="1">
    <w:name w:val="Grid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0" w:customStyle="1">
    <w:name w:val="Grid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1" w:customStyle="1">
    <w:name w:val="Grid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2">
    <w:name w:val="Grid Table 7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>
    <w:name w:val="List Table 1 Light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1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2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3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4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5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6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3">
    <w:name w:val="List Table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5 Dark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>
    <w:name w:val="List Table 6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5" w:customStyle="1">
    <w:name w:val="List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6" w:customStyle="1">
    <w:name w:val="List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7" w:customStyle="1">
    <w:name w:val="List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8" w:customStyle="1">
    <w:name w:val="List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9" w:customStyle="1">
    <w:name w:val="List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0" w:customStyle="1">
    <w:name w:val="List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1">
    <w:name w:val="List Table 7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ned - Accent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Lined - Accent 1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0" w:customStyle="1">
    <w:name w:val="Lined - Accent 2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1" w:customStyle="1">
    <w:name w:val="Lined - Accent 3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2" w:customStyle="1">
    <w:name w:val="Lined - Accent 4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3" w:customStyle="1">
    <w:name w:val="Lined - Accent 5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4" w:customStyle="1">
    <w:name w:val="Lined - Accent 6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5" w:customStyle="1">
    <w:name w:val="Bordered &amp; Lined - Accent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Bordered &amp; Lined - Accent 1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7" w:customStyle="1">
    <w:name w:val="Bordered &amp; Lined - Accent 2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8" w:customStyle="1">
    <w:name w:val="Bordered &amp; Lined - Accent 3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9" w:customStyle="1">
    <w:name w:val="Bordered &amp; Lined - Accent 4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0" w:customStyle="1">
    <w:name w:val="Bordered &amp; Lined - Accent 5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1" w:customStyle="1">
    <w:name w:val="Bordered &amp; Lined - Accent 6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2" w:customStyle="1">
    <w:name w:val="Bordered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3" w:customStyle="1">
    <w:name w:val="Bordered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4" w:customStyle="1">
    <w:name w:val="Bordered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5" w:customStyle="1">
    <w:name w:val="Bordered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6" w:customStyle="1">
    <w:name w:val="Bordered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7" w:customStyle="1">
    <w:name w:val="Bordered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8" w:customStyle="1">
    <w:name w:val="Bordered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9">
    <w:name w:val="footnote text"/>
    <w:basedOn w:val="739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 w:customStyle="1">
    <w:name w:val="Текст сноски Знак"/>
    <w:link w:val="919"/>
    <w:uiPriority w:val="99"/>
    <w:rPr>
      <w:sz w:val="18"/>
    </w:rPr>
  </w:style>
  <w:style w:type="character" w:styleId="921">
    <w:name w:val="footnote reference"/>
    <w:basedOn w:val="749"/>
    <w:uiPriority w:val="99"/>
    <w:unhideWhenUsed/>
    <w:rPr>
      <w:vertAlign w:val="superscript"/>
    </w:rPr>
  </w:style>
  <w:style w:type="paragraph" w:styleId="922">
    <w:name w:val="endnote text"/>
    <w:basedOn w:val="739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 w:customStyle="1">
    <w:name w:val="Текст концевой сноски Знак"/>
    <w:link w:val="922"/>
    <w:uiPriority w:val="99"/>
    <w:rPr>
      <w:sz w:val="20"/>
    </w:rPr>
  </w:style>
  <w:style w:type="character" w:styleId="924">
    <w:name w:val="endnote reference"/>
    <w:basedOn w:val="749"/>
    <w:uiPriority w:val="99"/>
    <w:semiHidden/>
    <w:unhideWhenUsed/>
    <w:rPr>
      <w:vertAlign w:val="superscript"/>
    </w:rPr>
  </w:style>
  <w:style w:type="paragraph" w:styleId="925">
    <w:name w:val="toc 1"/>
    <w:basedOn w:val="739"/>
    <w:next w:val="739"/>
    <w:uiPriority w:val="39"/>
    <w:unhideWhenUsed/>
    <w:pPr>
      <w:spacing w:after="57"/>
    </w:pPr>
  </w:style>
  <w:style w:type="paragraph" w:styleId="926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27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28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29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30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31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32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33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739"/>
    <w:next w:val="739"/>
    <w:uiPriority w:val="99"/>
    <w:unhideWhenUsed/>
    <w:pPr>
      <w:spacing w:after="0"/>
    </w:pPr>
  </w:style>
  <w:style w:type="paragraph" w:styleId="936">
    <w:name w:val="List Paragraph"/>
    <w:basedOn w:val="739"/>
    <w:uiPriority w:val="34"/>
    <w:qFormat/>
    <w:pPr>
      <w:contextualSpacing/>
      <w:ind w:left="720"/>
    </w:pPr>
  </w:style>
  <w:style w:type="table" w:styleId="937">
    <w:name w:val="Table Grid"/>
    <w:basedOn w:val="75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8" w:customStyle="1">
    <w:name w:val="Сетка таблицы1"/>
    <w:basedOn w:val="750"/>
    <w:next w:val="93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9">
    <w:name w:val="Hyperlink"/>
    <w:basedOn w:val="749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sdm</cp:lastModifiedBy>
  <cp:revision>11</cp:revision>
  <dcterms:created xsi:type="dcterms:W3CDTF">2025-08-11T17:12:00Z</dcterms:created>
  <dcterms:modified xsi:type="dcterms:W3CDTF">2025-09-17T13:05:27Z</dcterms:modified>
</cp:coreProperties>
</file>