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Приложение № 2 к извещению </w:t>
      </w:r>
    </w:p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о проведении запроса предложений</w:t>
      </w:r>
    </w:p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в электронной форме </w:t>
      </w:r>
    </w:p>
    <w:p w:rsidR="007D64D3" w:rsidRDefault="007D64D3" w:rsidP="00534441">
      <w:pPr>
        <w:pStyle w:val="2"/>
        <w:spacing w:after="80" w:line="240" w:lineRule="auto"/>
        <w:ind w:left="0" w:firstLine="357"/>
        <w:jc w:val="center"/>
        <w:rPr>
          <w:b/>
          <w:sz w:val="24"/>
          <w:szCs w:val="24"/>
        </w:rPr>
      </w:pPr>
    </w:p>
    <w:p w:rsidR="007D64D3" w:rsidRDefault="007D64D3" w:rsidP="00534441">
      <w:pPr>
        <w:pStyle w:val="2"/>
        <w:spacing w:after="80" w:line="240" w:lineRule="auto"/>
        <w:ind w:left="0" w:firstLine="357"/>
        <w:jc w:val="center"/>
        <w:rPr>
          <w:b/>
          <w:sz w:val="24"/>
          <w:szCs w:val="24"/>
        </w:rPr>
      </w:pPr>
    </w:p>
    <w:p w:rsidR="007F3BDD" w:rsidRDefault="007F3BDD" w:rsidP="007F3BDD">
      <w:pPr>
        <w:jc w:val="center"/>
        <w:rPr>
          <w:b/>
        </w:rPr>
      </w:pPr>
    </w:p>
    <w:p w:rsidR="007F3BDD" w:rsidRPr="007F3BDD" w:rsidRDefault="007F3BDD" w:rsidP="007F3B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BDD">
        <w:rPr>
          <w:rFonts w:ascii="Times New Roman" w:hAnsi="Times New Roman"/>
          <w:b/>
          <w:sz w:val="24"/>
          <w:szCs w:val="24"/>
        </w:rPr>
        <w:t xml:space="preserve"> ТЕХНИЧЕСКОЕ ЗАДАНИЕ</w:t>
      </w:r>
    </w:p>
    <w:p w:rsidR="007F3BDD" w:rsidRPr="007F3BDD" w:rsidRDefault="007F3BDD" w:rsidP="007F3BDD">
      <w:pPr>
        <w:pStyle w:val="2"/>
        <w:widowControl w:val="0"/>
        <w:spacing w:after="0" w:line="240" w:lineRule="auto"/>
        <w:ind w:left="284" w:hanging="142"/>
        <w:jc w:val="center"/>
        <w:outlineLvl w:val="0"/>
        <w:rPr>
          <w:sz w:val="24"/>
          <w:szCs w:val="24"/>
        </w:rPr>
      </w:pPr>
      <w:r w:rsidRPr="007F3BDD">
        <w:rPr>
          <w:sz w:val="24"/>
          <w:szCs w:val="24"/>
        </w:rPr>
        <w:t xml:space="preserve">на </w:t>
      </w:r>
      <w:r w:rsidRPr="007F3BDD">
        <w:rPr>
          <w:bCs/>
          <w:sz w:val="24"/>
          <w:szCs w:val="24"/>
        </w:rPr>
        <w:t>оказание услуг по проведению лабораторных исследований качества горячей</w:t>
      </w:r>
      <w:r w:rsidRPr="007F3BDD">
        <w:rPr>
          <w:b/>
          <w:sz w:val="24"/>
          <w:szCs w:val="24"/>
        </w:rPr>
        <w:t xml:space="preserve"> </w:t>
      </w:r>
      <w:r w:rsidR="00EA03DF">
        <w:rPr>
          <w:sz w:val="24"/>
          <w:szCs w:val="24"/>
        </w:rPr>
        <w:t>воды на 2026</w:t>
      </w:r>
      <w:r w:rsidRPr="007F3BDD">
        <w:rPr>
          <w:sz w:val="24"/>
          <w:szCs w:val="24"/>
        </w:rPr>
        <w:t xml:space="preserve"> год </w:t>
      </w:r>
    </w:p>
    <w:p w:rsidR="00EA03DF" w:rsidRDefault="00EA03DF" w:rsidP="00EA03DF">
      <w:pPr>
        <w:pStyle w:val="2"/>
        <w:widowControl w:val="0"/>
        <w:spacing w:after="0" w:line="240" w:lineRule="auto"/>
        <w:ind w:left="284"/>
        <w:jc w:val="center"/>
        <w:outlineLvl w:val="0"/>
        <w:rPr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898"/>
        <w:gridCol w:w="7352"/>
      </w:tblGrid>
      <w:tr w:rsidR="00EA03DF" w:rsidTr="00EA03DF">
        <w:trPr>
          <w:trHeight w:val="94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DF" w:rsidRDefault="00EA03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03DF" w:rsidRDefault="00EA03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DF" w:rsidRDefault="00EA0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A03DF" w:rsidRDefault="00EA0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DF" w:rsidRDefault="00EA03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Требуемое значение</w:t>
            </w:r>
          </w:p>
        </w:tc>
      </w:tr>
      <w:tr w:rsidR="00EA03DF" w:rsidTr="00EA03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bCs/>
                <w:color w:val="auto"/>
              </w:rPr>
              <w:t>Наименование услуг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Отбор проб горячей воды, проведение лабораторных исследований и испытаний на соответствие воды установленным требованиям</w:t>
            </w:r>
          </w:p>
        </w:tc>
      </w:tr>
      <w:tr w:rsidR="00EA03DF" w:rsidTr="00EA03DF">
        <w:trPr>
          <w:trHeight w:val="5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bCs/>
                <w:color w:val="auto"/>
              </w:rPr>
              <w:t>Адреса объектов оказания услуг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color w:val="auto"/>
              </w:rPr>
              <w:t>Центральные тепловые пункты города Ижевска</w:t>
            </w:r>
            <w:r>
              <w:t>:</w:t>
            </w:r>
          </w:p>
          <w:p w:rsidR="00EA03DF" w:rsidRDefault="00EA03DF">
            <w:pPr>
              <w:pStyle w:val="Default"/>
              <w:ind w:left="284" w:hanging="283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color w:val="auto"/>
              </w:rPr>
              <w:tab/>
              <w:t>ЦТП ул. Баранова,64</w:t>
            </w:r>
          </w:p>
          <w:p w:rsidR="00EA03DF" w:rsidRDefault="00EA03DF">
            <w:pPr>
              <w:pStyle w:val="Default"/>
              <w:ind w:left="284" w:hanging="283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color w:val="auto"/>
              </w:rPr>
              <w:tab/>
              <w:t>ЦТП ул. Баранова, 57б</w:t>
            </w:r>
          </w:p>
          <w:p w:rsidR="00EA03DF" w:rsidRDefault="00EA03DF">
            <w:pPr>
              <w:pStyle w:val="Default"/>
              <w:ind w:left="284" w:hanging="283"/>
              <w:rPr>
                <w:color w:val="auto"/>
              </w:rPr>
            </w:pPr>
            <w:r>
              <w:rPr>
                <w:color w:val="auto"/>
              </w:rPr>
              <w:t>3.</w:t>
            </w:r>
            <w:r>
              <w:rPr>
                <w:color w:val="auto"/>
              </w:rPr>
              <w:tab/>
              <w:t>ЦТП ул. Баранова, 40</w:t>
            </w:r>
          </w:p>
          <w:p w:rsidR="00EA03DF" w:rsidRDefault="00EA03DF">
            <w:pPr>
              <w:pStyle w:val="Default"/>
              <w:ind w:left="284" w:hanging="283"/>
              <w:rPr>
                <w:color w:val="auto"/>
              </w:rPr>
            </w:pPr>
            <w:r>
              <w:rPr>
                <w:color w:val="auto"/>
              </w:rPr>
              <w:t>4.</w:t>
            </w:r>
            <w:r>
              <w:rPr>
                <w:color w:val="auto"/>
              </w:rPr>
              <w:tab/>
              <w:t>ЦТП ул. З. Шоссе, 49а</w:t>
            </w:r>
          </w:p>
          <w:p w:rsidR="00EA03DF" w:rsidRDefault="00EA03DF">
            <w:pPr>
              <w:pStyle w:val="Default"/>
              <w:ind w:left="284" w:hanging="283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</w:rPr>
              <w:tab/>
              <w:t>ЦТП ул. З. Шоссе, 59а</w:t>
            </w:r>
          </w:p>
        </w:tc>
      </w:tr>
      <w:tr w:rsidR="00EA03DF" w:rsidTr="00EA03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bCs/>
                <w:color w:val="auto"/>
              </w:rPr>
              <w:t>Сроки                выполнения услуг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 xml:space="preserve">1. Начало оказания услуг – с момента заключения договора.  </w:t>
            </w:r>
          </w:p>
          <w:p w:rsidR="00EA03DF" w:rsidRDefault="00EA03DF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2. Окончание оказания услуг – 31 декабря 2026 года.</w:t>
            </w:r>
          </w:p>
        </w:tc>
      </w:tr>
      <w:tr w:rsidR="00EA03DF" w:rsidTr="00EA03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       оказания услуг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Выполнение требований экологического и санитарно-эпидемиологического       законодательства РФ.</w:t>
            </w:r>
          </w:p>
          <w:p w:rsidR="00EA03DF" w:rsidRDefault="00EA03DF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Программа производственного контроля качества горячей вод</w:t>
            </w:r>
            <w:proofErr w:type="gramStart"/>
            <w:r>
              <w:rPr>
                <w:color w:val="auto"/>
              </w:rPr>
              <w:t>ы ООО</w:t>
            </w:r>
            <w:proofErr w:type="gramEnd"/>
            <w:r>
              <w:rPr>
                <w:color w:val="auto"/>
              </w:rPr>
              <w:t xml:space="preserve"> «РТК»</w:t>
            </w:r>
          </w:p>
        </w:tc>
      </w:tr>
      <w:tr w:rsidR="00EA03DF" w:rsidTr="00EA03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Применяемые стандарты и прочие правила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закон от 30.03.1999 N 52-ФЗ "О санитарно-эпидемиологическом благополучии населения";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Федеральный закон от 07.12.2011 N 416-ФЗ "О водоснабжении и водоотведении"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Постановление Правительства РФ от 06.01.2015 N 10 "О порядке осуществления производственного контроля качества и безопасности питьевой воды, горячей воды"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1.2.3684-21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Приказ Федеральной службы по надзору в сфере защиты прав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и благополучия человека от 28 декабря 2012г. N 1204 «Об утверждении Критериев существенного ухудшения качества питьевой воды и горячей воды, показателей качества питьевой воды, характеризующих ее безопасность, по которым осуществляется производственный контроль качества питьевой воды, горячей воды и требований к частоте отбора проб воды»;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Постановление Правительства РФ от 06.01.2015 N 10 "О порядке осуществления производственного контроля качества и безопасности питьевой воды, горячей воды";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59024-2020. Национальный стандарт Российской Федерации. Вода. Общие требования к отбору проб;</w:t>
            </w:r>
          </w:p>
          <w:p w:rsidR="00EA03DF" w:rsidRDefault="00EA03DF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Межгосударственный стандарт ГОСТ 31942-2012 (ISO 19458:2006) «Вода. Отбор проб для микробиологического анализа».</w:t>
            </w:r>
          </w:p>
        </w:tc>
      </w:tr>
      <w:tr w:rsidR="00EA03DF" w:rsidTr="00EA03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lastRenderedPageBreak/>
              <w:t>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ind w:right="-110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Дополнительные условия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a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Отбор и доставка проб производится Исполнителем согласно:</w:t>
            </w:r>
          </w:p>
          <w:p w:rsidR="00EA03DF" w:rsidRDefault="00EA03DF">
            <w:pPr>
              <w:pStyle w:val="a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ГОСТ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56237-2014 Национальный стандарт Российской Федерации. Вода питьевая. Отбор проб на станциях водоподготовки и в трубопроводных распределительных системах.</w:t>
            </w:r>
          </w:p>
          <w:p w:rsidR="00EA03DF" w:rsidRDefault="00EA03DF">
            <w:pPr>
              <w:pStyle w:val="a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1.2.3685-21 "Гигиенические нормативы и требования к обеспечению безопасности и (или) безвредности для человека факторов среды обитания".</w:t>
            </w:r>
          </w:p>
        </w:tc>
      </w:tr>
      <w:tr w:rsidR="00EA03DF" w:rsidTr="00EA03DF">
        <w:trPr>
          <w:trHeight w:val="10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 xml:space="preserve">Объём </w:t>
            </w:r>
          </w:p>
          <w:p w:rsidR="00EA03DF" w:rsidRDefault="00EA03DF">
            <w:pPr>
              <w:pStyle w:val="Default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оказываемых услуг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DF" w:rsidRDefault="00EA03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лабораторных исследований качества питьевой воды централизованного водоснабжения (горячая и холодная) проводится по адресам: </w:t>
            </w:r>
          </w:p>
          <w:p w:rsidR="00EA03DF" w:rsidRDefault="00EA03DF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ЦТП ул. Баранова,64</w:t>
            </w:r>
          </w:p>
          <w:p w:rsidR="00EA03DF" w:rsidRDefault="00EA03DF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ЦТП ул. Баранова, 57б</w:t>
            </w:r>
          </w:p>
          <w:p w:rsidR="00EA03DF" w:rsidRDefault="00EA03DF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ЦТП ул. Баранова, 40</w:t>
            </w:r>
          </w:p>
          <w:p w:rsidR="00EA03DF" w:rsidRDefault="00EA03DF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ЦТП ул. З. Шоссе, 49а</w:t>
            </w:r>
          </w:p>
          <w:p w:rsidR="00EA03DF" w:rsidRDefault="00EA03DF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ЦТП ул. З. Шоссе, 59а</w:t>
            </w:r>
          </w:p>
          <w:p w:rsidR="00EA03DF" w:rsidRDefault="00EA03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показателям:</w:t>
            </w:r>
            <w:r>
              <w:rPr>
                <w:rFonts w:ascii="Times New Roman" w:hAnsi="Times New Roman"/>
                <w:bCs/>
                <w:color w:val="00B0F0"/>
                <w:sz w:val="24"/>
                <w:szCs w:val="24"/>
              </w:rPr>
              <w:t xml:space="preserve">  </w:t>
            </w:r>
          </w:p>
          <w:p w:rsidR="00EA03DF" w:rsidRDefault="00EA03D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Горячая вода</w:t>
            </w:r>
          </w:p>
          <w:p w:rsidR="00EA03DF" w:rsidRDefault="00EA03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</w:p>
          <w:tbl>
            <w:tblPr>
              <w:tblW w:w="7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1"/>
              <w:gridCol w:w="2518"/>
              <w:gridCol w:w="13"/>
              <w:gridCol w:w="1660"/>
              <w:gridCol w:w="14"/>
            </w:tblGrid>
            <w:tr w:rsidR="00EA03DF">
              <w:trPr>
                <w:cantSplit/>
                <w:trHeight w:val="1016"/>
              </w:trPr>
              <w:tc>
                <w:tcPr>
                  <w:tcW w:w="382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bookmarkStart w:id="0" w:name="_Hlk153785609"/>
                  <w:r>
                    <w:rPr>
                      <w:rFonts w:ascii="Times New Roman" w:hAnsi="Times New Roman"/>
                      <w:color w:val="000000"/>
                    </w:rPr>
                    <w:t>Перечень контролируемых показателей</w:t>
                  </w:r>
                </w:p>
              </w:tc>
              <w:tc>
                <w:tcPr>
                  <w:tcW w:w="11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Периодичность контроля</w:t>
                  </w:r>
                </w:p>
              </w:tc>
            </w:tr>
            <w:bookmarkEnd w:id="0"/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Органолептические показатели</w:t>
                  </w: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Запах</w:t>
                  </w:r>
                </w:p>
              </w:tc>
              <w:tc>
                <w:tcPr>
                  <w:tcW w:w="1174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 проба в месяц</w:t>
                  </w:r>
                </w:p>
                <w:p w:rsidR="00EA03DF" w:rsidRDefault="00EA0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Цветность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Мутность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Микробиологические показатели</w:t>
                  </w: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Энтерококки</w:t>
                  </w:r>
                </w:p>
              </w:tc>
              <w:tc>
                <w:tcPr>
                  <w:tcW w:w="1174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 проба в месяц</w:t>
                  </w:r>
                </w:p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EA03DF" w:rsidRDefault="00EA0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e.coli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ОКБ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ОМЧ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Химические вещества</w:t>
                  </w: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Железо </w:t>
                  </w:r>
                </w:p>
              </w:tc>
              <w:tc>
                <w:tcPr>
                  <w:tcW w:w="1174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3DF" w:rsidRDefault="00EA03DF">
                  <w:pPr>
                    <w:widowControl w:val="0"/>
                    <w:suppressAutoHyphens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 раз в 6 месяцев</w:t>
                  </w:r>
                </w:p>
                <w:p w:rsidR="00EA03DF" w:rsidRDefault="00EA03DF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Хлороформ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Сероводород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EA03DF">
              <w:trPr>
                <w:gridAfter w:val="1"/>
                <w:wAfter w:w="10" w:type="pct"/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Цинк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</w:tbl>
          <w:p w:rsidR="00EA03DF" w:rsidRDefault="00EA03D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03DF" w:rsidRDefault="00EA03DF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Холодная вода</w:t>
            </w:r>
          </w:p>
          <w:tbl>
            <w:tblPr>
              <w:tblW w:w="7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1"/>
              <w:gridCol w:w="2552"/>
              <w:gridCol w:w="1558"/>
            </w:tblGrid>
            <w:tr w:rsidR="00EA03DF">
              <w:trPr>
                <w:cantSplit/>
              </w:trPr>
              <w:tc>
                <w:tcPr>
                  <w:tcW w:w="207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Органолептические показатели</w:t>
                  </w: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Запах</w:t>
                  </w:r>
                </w:p>
              </w:tc>
              <w:tc>
                <w:tcPr>
                  <w:tcW w:w="11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1 проба в месяц</w:t>
                  </w:r>
                </w:p>
                <w:p w:rsidR="00EA03DF" w:rsidRDefault="00EA0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Цветность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Мутность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207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Микробиологические показатели</w:t>
                  </w: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Энтерококки</w:t>
                  </w:r>
                </w:p>
              </w:tc>
              <w:tc>
                <w:tcPr>
                  <w:tcW w:w="11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1 проба в месяц</w:t>
                  </w:r>
                </w:p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e.coli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Колифаги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Общие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колиформные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бактерии (ОКБ)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Общее микробное число (ОМЧ)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207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Химические вещества</w:t>
                  </w: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 xml:space="preserve">Железо </w:t>
                  </w:r>
                </w:p>
              </w:tc>
              <w:tc>
                <w:tcPr>
                  <w:tcW w:w="11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3DF" w:rsidRDefault="00EA03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1 раз в 6 месяцев</w:t>
                  </w:r>
                </w:p>
                <w:p w:rsidR="00EA03DF" w:rsidRDefault="00EA0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Хлороформ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A03DF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3DF" w:rsidRDefault="00EA03DF">
                  <w:pPr>
                    <w:widowControl w:val="0"/>
                    <w:suppressAutoHyphens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Цинк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03DF" w:rsidRDefault="00EA03DF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EA03DF" w:rsidRDefault="00EA03DF">
            <w:pPr>
              <w:widowControl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EA03DF" w:rsidTr="00EA03DF">
        <w:trPr>
          <w:trHeight w:val="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Предоставления     результатов работ и сдача-приемка работ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DF" w:rsidRDefault="00EA03DF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</w:rPr>
              <w:t>Исполнитель предоставляет Заказчику:</w:t>
            </w:r>
          </w:p>
          <w:p w:rsidR="00EA03DF" w:rsidRDefault="00EA03D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 оригиналы протоколов анализа качества питьевой воды централизованного водоснабжения (горячая и холодная) (на каждую пробу отдельный протокол). Протоколы предоставляются Заказчику в бумажном виде не позднее 5 рабочих дней после отбора проб Исполнителем. </w:t>
            </w:r>
          </w:p>
          <w:p w:rsidR="00EA03DF" w:rsidRDefault="00EA03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Протоколы анализа качества питьевой воды централизованного водоснабжения (горячая и холодная) должны содержать следующие сведения: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наименование документа, его номер и дату;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название лаборатории, адрес местонахождения, контактный телефон;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наименование Заказчика;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объект контроля;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наименование пробы;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основание для проведения анализа;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дату получения пробы;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номер пробы;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метод выполнения анализа;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дату выполнения измерений;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наименование средств измерения (оборудования) с указанием номера свидетельства о поверке;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результаты анализа; 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предельно-допустимые концентрации для конкретной пробы</w:t>
            </w:r>
          </w:p>
          <w:p w:rsidR="00EA03DF" w:rsidRDefault="00EA03DF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утверждающие подписи и печать организации лаборатории.</w:t>
            </w:r>
          </w:p>
          <w:p w:rsidR="00EA03DF" w:rsidRDefault="00EA03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Услуги должны быть выполнены качественно, своевременно и в соответствии с требованиями действующего законодательства Российской Федерации.</w:t>
            </w:r>
          </w:p>
        </w:tc>
      </w:tr>
    </w:tbl>
    <w:p w:rsidR="007F3BDD" w:rsidRPr="007F3BDD" w:rsidRDefault="007F3BDD" w:rsidP="007F3BDD">
      <w:pPr>
        <w:rPr>
          <w:rFonts w:ascii="Times New Roman" w:hAnsi="Times New Roman"/>
          <w:color w:val="FF0000"/>
          <w:sz w:val="24"/>
          <w:szCs w:val="24"/>
        </w:rPr>
      </w:pPr>
    </w:p>
    <w:p w:rsidR="007F3BDD" w:rsidRPr="00E03C62" w:rsidRDefault="007F3BDD" w:rsidP="007F3BDD"/>
    <w:p w:rsidR="009D1C5E" w:rsidRPr="00B8055A" w:rsidRDefault="009D1C5E" w:rsidP="00443D2C">
      <w:pPr>
        <w:pStyle w:val="3"/>
        <w:tabs>
          <w:tab w:val="left" w:pos="285"/>
        </w:tabs>
        <w:ind w:left="0"/>
        <w:jc w:val="both"/>
        <w:rPr>
          <w:rFonts w:ascii="Times New Roman" w:hAnsi="Times New Roman"/>
          <w:sz w:val="24"/>
        </w:rPr>
      </w:pPr>
    </w:p>
    <w:sectPr w:rsidR="009D1C5E" w:rsidRPr="00B8055A" w:rsidSect="00750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2C" w:rsidRDefault="00443D2C" w:rsidP="009060A7">
      <w:pPr>
        <w:spacing w:after="0" w:line="240" w:lineRule="auto"/>
      </w:pPr>
      <w:r>
        <w:separator/>
      </w:r>
    </w:p>
  </w:endnote>
  <w:endnote w:type="continuationSeparator" w:id="0">
    <w:p w:rsidR="00443D2C" w:rsidRDefault="00443D2C" w:rsidP="0090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2C" w:rsidRDefault="00540693" w:rsidP="00862C2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3D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3D2C" w:rsidRDefault="00443D2C" w:rsidP="00862C2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2C" w:rsidRDefault="00540693" w:rsidP="00862C2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3D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03DF">
      <w:rPr>
        <w:rStyle w:val="a9"/>
        <w:noProof/>
      </w:rPr>
      <w:t>2</w:t>
    </w:r>
    <w:r>
      <w:rPr>
        <w:rStyle w:val="a9"/>
      </w:rPr>
      <w:fldChar w:fldCharType="end"/>
    </w:r>
  </w:p>
  <w:p w:rsidR="00443D2C" w:rsidRDefault="00443D2C" w:rsidP="00862C22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D9" w:rsidRDefault="00A037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2C" w:rsidRDefault="00443D2C" w:rsidP="009060A7">
      <w:pPr>
        <w:spacing w:after="0" w:line="240" w:lineRule="auto"/>
      </w:pPr>
      <w:r>
        <w:separator/>
      </w:r>
    </w:p>
  </w:footnote>
  <w:footnote w:type="continuationSeparator" w:id="0">
    <w:p w:rsidR="00443D2C" w:rsidRDefault="00443D2C" w:rsidP="0090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D9" w:rsidRDefault="00A037D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D9" w:rsidRDefault="00A037D9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D9" w:rsidRDefault="00A037D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364"/>
    <w:multiLevelType w:val="multilevel"/>
    <w:tmpl w:val="A1E2EEB2"/>
    <w:lvl w:ilvl="0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E6592"/>
    <w:multiLevelType w:val="hybridMultilevel"/>
    <w:tmpl w:val="0228119E"/>
    <w:lvl w:ilvl="0" w:tplc="299CA5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A181E"/>
    <w:multiLevelType w:val="hybridMultilevel"/>
    <w:tmpl w:val="48D8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F0F3A"/>
    <w:multiLevelType w:val="hybridMultilevel"/>
    <w:tmpl w:val="9154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C024A"/>
    <w:multiLevelType w:val="hybridMultilevel"/>
    <w:tmpl w:val="F22C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A68E2"/>
    <w:multiLevelType w:val="hybridMultilevel"/>
    <w:tmpl w:val="CD2E0CE6"/>
    <w:lvl w:ilvl="0" w:tplc="BAF6DEC6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2A2D08"/>
    <w:multiLevelType w:val="multilevel"/>
    <w:tmpl w:val="7C08C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Batang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72770EC"/>
    <w:multiLevelType w:val="hybridMultilevel"/>
    <w:tmpl w:val="CD4A0992"/>
    <w:lvl w:ilvl="0" w:tplc="9BD83784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BA0558B"/>
    <w:multiLevelType w:val="hybridMultilevel"/>
    <w:tmpl w:val="408EE14C"/>
    <w:lvl w:ilvl="0" w:tplc="623CF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C51545"/>
    <w:multiLevelType w:val="multilevel"/>
    <w:tmpl w:val="4E48970C"/>
    <w:lvl w:ilvl="0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-171"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71"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5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9"/>
        </w:tabs>
        <w:ind w:left="25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0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35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9"/>
        </w:tabs>
        <w:ind w:left="4149" w:hanging="1440"/>
      </w:pPr>
      <w:rPr>
        <w:rFonts w:cs="Times New Roman" w:hint="default"/>
      </w:rPr>
    </w:lvl>
  </w:abstractNum>
  <w:abstractNum w:abstractNumId="11">
    <w:nsid w:val="72101796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73B700DA"/>
    <w:multiLevelType w:val="multilevel"/>
    <w:tmpl w:val="9194822C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79BB415C"/>
    <w:multiLevelType w:val="hybridMultilevel"/>
    <w:tmpl w:val="11E01D42"/>
    <w:lvl w:ilvl="0" w:tplc="B15E13A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4209D"/>
    <w:multiLevelType w:val="multilevel"/>
    <w:tmpl w:val="80D25F62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8"/>
  </w:num>
  <w:num w:numId="11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41"/>
    <w:rsid w:val="00013AAE"/>
    <w:rsid w:val="00036CC2"/>
    <w:rsid w:val="00074861"/>
    <w:rsid w:val="000971EB"/>
    <w:rsid w:val="00111EE6"/>
    <w:rsid w:val="00141901"/>
    <w:rsid w:val="001772AD"/>
    <w:rsid w:val="00187863"/>
    <w:rsid w:val="00187CAA"/>
    <w:rsid w:val="0019251F"/>
    <w:rsid w:val="00237380"/>
    <w:rsid w:val="00254863"/>
    <w:rsid w:val="002E4B32"/>
    <w:rsid w:val="003420ED"/>
    <w:rsid w:val="003D3F7D"/>
    <w:rsid w:val="00410CD0"/>
    <w:rsid w:val="0043234E"/>
    <w:rsid w:val="004351F7"/>
    <w:rsid w:val="00443D2C"/>
    <w:rsid w:val="00446464"/>
    <w:rsid w:val="0053094F"/>
    <w:rsid w:val="00534441"/>
    <w:rsid w:val="00540693"/>
    <w:rsid w:val="005447DE"/>
    <w:rsid w:val="005479AB"/>
    <w:rsid w:val="005A152F"/>
    <w:rsid w:val="005B5E59"/>
    <w:rsid w:val="006640A9"/>
    <w:rsid w:val="006A3FA6"/>
    <w:rsid w:val="006F6B34"/>
    <w:rsid w:val="007144A0"/>
    <w:rsid w:val="007503C3"/>
    <w:rsid w:val="007749AB"/>
    <w:rsid w:val="007D64D3"/>
    <w:rsid w:val="007F3BDD"/>
    <w:rsid w:val="008006C7"/>
    <w:rsid w:val="0080205C"/>
    <w:rsid w:val="00862C22"/>
    <w:rsid w:val="008642D4"/>
    <w:rsid w:val="00894B98"/>
    <w:rsid w:val="009060A7"/>
    <w:rsid w:val="009116D2"/>
    <w:rsid w:val="009D1C5E"/>
    <w:rsid w:val="009E5D22"/>
    <w:rsid w:val="00A037D9"/>
    <w:rsid w:val="00AB7F64"/>
    <w:rsid w:val="00AF4D66"/>
    <w:rsid w:val="00B12B8C"/>
    <w:rsid w:val="00B522E7"/>
    <w:rsid w:val="00B8055A"/>
    <w:rsid w:val="00C622FC"/>
    <w:rsid w:val="00CC62D3"/>
    <w:rsid w:val="00D11680"/>
    <w:rsid w:val="00DA0BCE"/>
    <w:rsid w:val="00DA78E3"/>
    <w:rsid w:val="00E35748"/>
    <w:rsid w:val="00EA03DF"/>
    <w:rsid w:val="00EC412B"/>
    <w:rsid w:val="00EE5E6E"/>
    <w:rsid w:val="00F1603F"/>
    <w:rsid w:val="00F2395B"/>
    <w:rsid w:val="00F3061A"/>
    <w:rsid w:val="00F6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1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4441"/>
    <w:pPr>
      <w:spacing w:after="0" w:line="24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534441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rsid w:val="00534441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534441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344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534441"/>
    <w:pPr>
      <w:widowControl w:val="0"/>
      <w:ind w:firstLine="720"/>
    </w:pPr>
    <w:rPr>
      <w:rFonts w:ascii="Times New Roman" w:eastAsia="Times New Roman" w:hAnsi="Times New Roman"/>
      <w:sz w:val="20"/>
      <w:szCs w:val="20"/>
    </w:rPr>
  </w:style>
  <w:style w:type="character" w:styleId="a6">
    <w:name w:val="Strong"/>
    <w:basedOn w:val="a0"/>
    <w:uiPriority w:val="99"/>
    <w:qFormat/>
    <w:rsid w:val="00534441"/>
    <w:rPr>
      <w:rFonts w:cs="Times New Roman"/>
      <w:b/>
    </w:rPr>
  </w:style>
  <w:style w:type="character" w:customStyle="1" w:styleId="Bodytext">
    <w:name w:val="Body text_"/>
    <w:link w:val="Bodytext0"/>
    <w:uiPriority w:val="99"/>
    <w:locked/>
    <w:rsid w:val="00534441"/>
    <w:rPr>
      <w:sz w:val="24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534441"/>
    <w:pPr>
      <w:shd w:val="clear" w:color="auto" w:fill="FFFFFF"/>
      <w:spacing w:after="0" w:line="277" w:lineRule="exact"/>
      <w:ind w:hanging="420"/>
      <w:jc w:val="both"/>
    </w:pPr>
    <w:rPr>
      <w:rFonts w:eastAsia="Calibri"/>
      <w:sz w:val="24"/>
      <w:szCs w:val="24"/>
      <w:shd w:val="clear" w:color="auto" w:fill="FFFFFF"/>
      <w:lang w:eastAsia="ru-RU"/>
    </w:rPr>
  </w:style>
  <w:style w:type="paragraph" w:styleId="a7">
    <w:name w:val="footer"/>
    <w:basedOn w:val="a"/>
    <w:link w:val="a8"/>
    <w:uiPriority w:val="99"/>
    <w:rsid w:val="005344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34441"/>
    <w:rPr>
      <w:rFonts w:ascii="Calibri" w:hAnsi="Calibri" w:cs="Times New Roman"/>
    </w:rPr>
  </w:style>
  <w:style w:type="character" w:styleId="a9">
    <w:name w:val="page number"/>
    <w:basedOn w:val="a0"/>
    <w:uiPriority w:val="99"/>
    <w:rsid w:val="00534441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534441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5344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5344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344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53444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10">
    <w:name w:val="Текст1"/>
    <w:basedOn w:val="a"/>
    <w:uiPriority w:val="99"/>
    <w:rsid w:val="00534441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534441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table" w:styleId="ad">
    <w:name w:val="Table Grid"/>
    <w:basedOn w:val="a1"/>
    <w:uiPriority w:val="39"/>
    <w:locked/>
    <w:rsid w:val="00410CD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F1603F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3">
    <w:name w:val="Абзац списка3"/>
    <w:basedOn w:val="a"/>
    <w:rsid w:val="00B8055A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4">
    <w:name w:val="Абзац списка4"/>
    <w:basedOn w:val="a"/>
    <w:rsid w:val="000971EB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5">
    <w:name w:val="Абзац списка5"/>
    <w:basedOn w:val="a"/>
    <w:rsid w:val="00443D2C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Default">
    <w:name w:val="Default"/>
    <w:rsid w:val="007F3B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F3BDD"/>
    <w:pPr>
      <w:ind w:left="720"/>
      <w:contextualSpacing/>
    </w:pPr>
    <w:rPr>
      <w:lang w:eastAsia="ru-RU"/>
    </w:rPr>
  </w:style>
  <w:style w:type="paragraph" w:styleId="af">
    <w:name w:val="No Spacing"/>
    <w:uiPriority w:val="1"/>
    <w:qFormat/>
    <w:rsid w:val="007F3B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0">
    <w:name w:val="header"/>
    <w:basedOn w:val="a"/>
    <w:link w:val="af1"/>
    <w:uiPriority w:val="99"/>
    <w:semiHidden/>
    <w:unhideWhenUsed/>
    <w:rsid w:val="00A037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037D9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B325C-1C2E-4D09-8D22-E0BD1C96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Тронин Михаил Борисович</cp:lastModifiedBy>
  <cp:revision>26</cp:revision>
  <cp:lastPrinted>2024-12-24T09:04:00Z</cp:lastPrinted>
  <dcterms:created xsi:type="dcterms:W3CDTF">2017-03-17T12:41:00Z</dcterms:created>
  <dcterms:modified xsi:type="dcterms:W3CDTF">2025-12-22T05:22:00Z</dcterms:modified>
</cp:coreProperties>
</file>